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AD" w:rsidRPr="006357AD" w:rsidRDefault="006357AD" w:rsidP="006357AD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3"/>
        </w:rPr>
      </w:pPr>
      <w:r w:rsidRPr="006357AD">
        <w:rPr>
          <w:rFonts w:cs="Calibri"/>
          <w:position w:val="-8"/>
          <w:sz w:val="123"/>
        </w:rPr>
        <w:t>M</w:t>
      </w:r>
    </w:p>
    <w:p w:rsidR="00CD72C8" w:rsidRDefault="006357AD" w:rsidP="002A609A">
      <w:r>
        <w:t>uchos piensan que la contabilidad se reduce al mundo de la empresa. Ven en la contabilidad una expresión microeconómica. Ciertamente este es el enfoque de la contabilidad financiera.</w:t>
      </w:r>
    </w:p>
    <w:p w:rsidR="00A350FB" w:rsidRDefault="00A350FB" w:rsidP="002A609A">
      <w:r>
        <w:t>Pero esa visión es incorrecta. También hay una contabilidad macroeconómica.</w:t>
      </w:r>
    </w:p>
    <w:p w:rsidR="00942F3E" w:rsidRPr="00942F3E" w:rsidRDefault="00D86CCF" w:rsidP="00942F3E">
      <w:hyperlink r:id="rId9" w:history="1">
        <w:r w:rsidR="00942F3E" w:rsidRPr="00D86CCF">
          <w:rPr>
            <w:rStyle w:val="Hyperlink"/>
          </w:rPr>
          <w:t>Según el Banco de la República</w:t>
        </w:r>
      </w:hyperlink>
      <w:r w:rsidR="00942F3E">
        <w:t>, “</w:t>
      </w:r>
      <w:r w:rsidR="00867ACA">
        <w:t xml:space="preserve">(…) </w:t>
      </w:r>
      <w:r w:rsidR="00942F3E" w:rsidRPr="00942F3E">
        <w:t xml:space="preserve">La contabilidad nacional es un sistema contable que permite conocer el estado de la economía y la dinámica de las actividades que en ella se desarrollan por parte del sector público y privado. El conocer el desempeño de las diferentes áreas de la economía, su incidencia en ésta y las relaciones que existen entre ellas, permite hacer una evaluación de las necesidades existentes y definir las políticas que se han de emprender en materia económica hacia el futuro. Igualmente, es un punto de referencia importante para diversas investigaciones históricas. </w:t>
      </w:r>
    </w:p>
    <w:p w:rsidR="00942F3E" w:rsidRDefault="006B37BC" w:rsidP="002A609A">
      <w:r w:rsidRPr="006B37BC">
        <w:t>La contabilidad nacional se divide en dos partes: las cuentas financieras y las cuentas nacionales</w:t>
      </w:r>
      <w:r>
        <w:t xml:space="preserve"> (…)</w:t>
      </w:r>
    </w:p>
    <w:p w:rsidR="006B37BC" w:rsidRPr="006B37BC" w:rsidRDefault="006B37BC" w:rsidP="006B37BC">
      <w:r w:rsidRPr="006B37BC">
        <w:t>Las cuentas nacionales registran el nivel agregado del producto, el ingreso, el ahorro, el consumo, los gastos nacionales y la inversión en la economía. Se pueden calcular desde cualquiera de estos puntos de vista porque, finalmente, resultan ser equivalentes si se tiene en cuenta que los gastos de un</w:t>
      </w:r>
      <w:r w:rsidR="00867ACA">
        <w:t>os son ingresos para los otros. (…)”</w:t>
      </w:r>
    </w:p>
    <w:p w:rsidR="006B37BC" w:rsidRDefault="00D86CCF" w:rsidP="002A609A">
      <w:r>
        <w:lastRenderedPageBreak/>
        <w:t xml:space="preserve">Ahora bien: dentro de las Cuentas Nacionales se encuentran las Cuentas Ambientales, que </w:t>
      </w:r>
      <w:hyperlink r:id="rId10" w:history="1">
        <w:r w:rsidRPr="001E6785">
          <w:rPr>
            <w:rStyle w:val="Hyperlink"/>
          </w:rPr>
          <w:t>al decir del DANE</w:t>
        </w:r>
      </w:hyperlink>
      <w:r>
        <w:t>, “</w:t>
      </w:r>
      <w:r w:rsidRPr="00D86CCF">
        <w:t>Permiten describir las interrelaciones existentes entre la economía y el medio ambiente, con el fin de apoyar la formulación de políticas públicas. Para ello, cuantifica los fenómenos de deterioro</w:t>
      </w:r>
      <w:r w:rsidR="001E6785">
        <w:t xml:space="preserve"> </w:t>
      </w:r>
      <w:r w:rsidRPr="00D86CCF">
        <w:t>y mejoramiento del medio ambiente; los gastos destinados a la conservación, mitigación, protección del medio ambiente y, a su vez,</w:t>
      </w:r>
      <w:r w:rsidR="001E6785">
        <w:t xml:space="preserve"> </w:t>
      </w:r>
      <w:r w:rsidRPr="00D86CCF">
        <w:t>determina la variación en el estado de los recursos naturales.</w:t>
      </w:r>
      <w:r w:rsidR="001E6785">
        <w:t>”</w:t>
      </w:r>
    </w:p>
    <w:p w:rsidR="00C75537" w:rsidRDefault="00C75537" w:rsidP="002A609A">
      <w:r>
        <w:t xml:space="preserve">Colombia hace parte de la </w:t>
      </w:r>
      <w:r w:rsidRPr="00C75537">
        <w:t>Alianza Mundial de la Contabilidad de la Riqueza y Valoración de los Servicios de los Ecosistemas (</w:t>
      </w:r>
      <w:hyperlink r:id="rId11" w:history="1">
        <w:r w:rsidRPr="00C75537">
          <w:rPr>
            <w:rStyle w:val="Hyperlink"/>
          </w:rPr>
          <w:t>WAVES</w:t>
        </w:r>
      </w:hyperlink>
      <w:r w:rsidRPr="00C75537">
        <w:t>, por sus siglas en inglés)</w:t>
      </w:r>
      <w:r w:rsidR="00232836">
        <w:t xml:space="preserve">, la que, entre otras cosas, pretende ayudar a los países a </w:t>
      </w:r>
      <w:hyperlink r:id="rId12" w:history="1">
        <w:r w:rsidR="00232836" w:rsidRPr="00232836">
          <w:rPr>
            <w:rStyle w:val="Hyperlink"/>
          </w:rPr>
          <w:t>contabilizar su capital natural</w:t>
        </w:r>
      </w:hyperlink>
      <w:r w:rsidR="00232836">
        <w:t xml:space="preserve">, </w:t>
      </w:r>
      <w:r w:rsidR="0067003D">
        <w:t>el cual, junto con el capital manufacturado y con el capital humano y social</w:t>
      </w:r>
      <w:r w:rsidR="00610CD3">
        <w:t xml:space="preserve">, </w:t>
      </w:r>
      <w:r w:rsidR="0067003D">
        <w:t>conforma la riqueza de un país.</w:t>
      </w:r>
    </w:p>
    <w:p w:rsidR="00274232" w:rsidRDefault="00274232" w:rsidP="002A609A">
      <w:pPr>
        <w:rPr>
          <w:lang w:val="en-US"/>
        </w:rPr>
      </w:pPr>
      <w:proofErr w:type="spellStart"/>
      <w:r w:rsidRPr="00274232">
        <w:rPr>
          <w:lang w:val="en-US"/>
        </w:rPr>
        <w:t>Por</w:t>
      </w:r>
      <w:proofErr w:type="spellEnd"/>
      <w:r w:rsidRPr="00274232">
        <w:rPr>
          <w:lang w:val="en-US"/>
        </w:rPr>
        <w:t xml:space="preserve"> </w:t>
      </w:r>
      <w:proofErr w:type="spellStart"/>
      <w:r w:rsidRPr="00274232">
        <w:rPr>
          <w:lang w:val="en-US"/>
        </w:rPr>
        <w:t>su</w:t>
      </w:r>
      <w:proofErr w:type="spellEnd"/>
      <w:r w:rsidRPr="00274232">
        <w:rPr>
          <w:lang w:val="en-US"/>
        </w:rPr>
        <w:t xml:space="preserve"> parte, </w:t>
      </w:r>
      <w:hyperlink r:id="rId13" w:history="1">
        <w:proofErr w:type="spellStart"/>
        <w:r w:rsidRPr="00274232">
          <w:rPr>
            <w:rStyle w:val="Hyperlink"/>
            <w:lang w:val="en-US"/>
          </w:rPr>
          <w:t>según</w:t>
        </w:r>
        <w:proofErr w:type="spellEnd"/>
        <w:r w:rsidRPr="00274232">
          <w:rPr>
            <w:rStyle w:val="Hyperlink"/>
            <w:lang w:val="en-US"/>
          </w:rPr>
          <w:t xml:space="preserve"> </w:t>
        </w:r>
        <w:proofErr w:type="spellStart"/>
        <w:r w:rsidRPr="00274232">
          <w:rPr>
            <w:rStyle w:val="Hyperlink"/>
            <w:lang w:val="en-US"/>
          </w:rPr>
          <w:t>Naciones</w:t>
        </w:r>
        <w:proofErr w:type="spellEnd"/>
        <w:r w:rsidRPr="00274232">
          <w:rPr>
            <w:rStyle w:val="Hyperlink"/>
            <w:lang w:val="en-US"/>
          </w:rPr>
          <w:t xml:space="preserve"> </w:t>
        </w:r>
        <w:proofErr w:type="spellStart"/>
        <w:r w:rsidRPr="00274232">
          <w:rPr>
            <w:rStyle w:val="Hyperlink"/>
            <w:lang w:val="en-US"/>
          </w:rPr>
          <w:t>Unidas</w:t>
        </w:r>
        <w:proofErr w:type="spellEnd"/>
      </w:hyperlink>
      <w:r w:rsidRPr="00274232">
        <w:rPr>
          <w:lang w:val="en-US"/>
        </w:rPr>
        <w:t xml:space="preserve">, </w:t>
      </w:r>
      <w:r>
        <w:rPr>
          <w:lang w:val="en-US"/>
        </w:rPr>
        <w:t>“</w:t>
      </w:r>
      <w:r w:rsidRPr="00ED6950">
        <w:rPr>
          <w:i/>
          <w:lang w:val="en-US"/>
        </w:rPr>
        <w:t>The System of Environmental-Economic Accounts (SEEA) contains the internationally agreed standard concepts, definitions, classifications, accounting rules and tables for producing internationally comparable statistics on the environment and its relationship with the economy.</w:t>
      </w:r>
      <w:r>
        <w:rPr>
          <w:lang w:val="en-US"/>
        </w:rPr>
        <w:t>”</w:t>
      </w:r>
    </w:p>
    <w:p w:rsidR="007A7FA3" w:rsidRDefault="007A7FA3" w:rsidP="002A609A">
      <w:r w:rsidRPr="007A7FA3">
        <w:t>La comunidad co</w:t>
      </w:r>
      <w:bookmarkStart w:id="0" w:name="_GoBack"/>
      <w:bookmarkEnd w:id="0"/>
      <w:r w:rsidRPr="007A7FA3">
        <w:t>ntable colombiana tiene mucho que descub</w:t>
      </w:r>
      <w:r w:rsidR="000E22A0">
        <w:t>r</w:t>
      </w:r>
      <w:r w:rsidRPr="007A7FA3">
        <w:t>ir en el mundo de la contabilidad macroecon</w:t>
      </w:r>
      <w:r>
        <w:t>ómica, más conocida por economistas y estadígrafos.</w:t>
      </w:r>
    </w:p>
    <w:p w:rsidR="000E22A0" w:rsidRPr="000E22A0" w:rsidRDefault="000E22A0" w:rsidP="000E22A0">
      <w:pPr>
        <w:jc w:val="right"/>
        <w:rPr>
          <w:i/>
        </w:rPr>
      </w:pPr>
      <w:r w:rsidRPr="000E22A0">
        <w:rPr>
          <w:i/>
        </w:rPr>
        <w:t>Hernando Bermúdez Gómez</w:t>
      </w:r>
    </w:p>
    <w:sectPr w:rsidR="000E22A0" w:rsidRPr="000E22A0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D5" w:rsidRDefault="006271D5" w:rsidP="00EE7812">
      <w:pPr>
        <w:spacing w:after="0" w:line="240" w:lineRule="auto"/>
      </w:pPr>
      <w:r>
        <w:separator/>
      </w:r>
    </w:p>
  </w:endnote>
  <w:endnote w:type="continuationSeparator" w:id="0">
    <w:p w:rsidR="006271D5" w:rsidRDefault="006271D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D5" w:rsidRDefault="006271D5" w:rsidP="00EE7812">
      <w:pPr>
        <w:spacing w:after="0" w:line="240" w:lineRule="auto"/>
      </w:pPr>
      <w:r>
        <w:separator/>
      </w:r>
    </w:p>
  </w:footnote>
  <w:footnote w:type="continuationSeparator" w:id="0">
    <w:p w:rsidR="006271D5" w:rsidRDefault="006271D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7C55A5">
      <w:t>1</w:t>
    </w:r>
    <w:r w:rsidR="001B53B7">
      <w:t>7</w:t>
    </w:r>
    <w:r w:rsidR="009D09BB">
      <w:t xml:space="preserve">, </w:t>
    </w:r>
    <w:r w:rsidR="00134B6C">
      <w:t>mayo</w:t>
    </w:r>
    <w:r w:rsidR="002424E2">
      <w:t xml:space="preserve"> </w:t>
    </w:r>
    <w:r w:rsidR="00084BB1">
      <w:t>22</w:t>
    </w:r>
    <w:r w:rsidR="0005771D">
      <w:t xml:space="preserve"> </w:t>
    </w:r>
    <w:r w:rsidR="0080786C">
      <w:t>de 201</w:t>
    </w:r>
    <w:r w:rsidR="00297D4C">
      <w:t>2</w:t>
    </w:r>
  </w:p>
  <w:p w:rsidR="0046164F" w:rsidRDefault="006271D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3"/>
  </w:num>
  <w:num w:numId="7">
    <w:abstractNumId w:val="34"/>
  </w:num>
  <w:num w:numId="8">
    <w:abstractNumId w:val="15"/>
  </w:num>
  <w:num w:numId="9">
    <w:abstractNumId w:val="5"/>
  </w:num>
  <w:num w:numId="10">
    <w:abstractNumId w:val="22"/>
  </w:num>
  <w:num w:numId="11">
    <w:abstractNumId w:val="25"/>
  </w:num>
  <w:num w:numId="12">
    <w:abstractNumId w:val="0"/>
  </w:num>
  <w:num w:numId="13">
    <w:abstractNumId w:val="9"/>
  </w:num>
  <w:num w:numId="14">
    <w:abstractNumId w:val="11"/>
  </w:num>
  <w:num w:numId="15">
    <w:abstractNumId w:val="21"/>
  </w:num>
  <w:num w:numId="16">
    <w:abstractNumId w:val="7"/>
  </w:num>
  <w:num w:numId="17">
    <w:abstractNumId w:val="4"/>
  </w:num>
  <w:num w:numId="18">
    <w:abstractNumId w:val="30"/>
  </w:num>
  <w:num w:numId="19">
    <w:abstractNumId w:val="12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3"/>
  </w:num>
  <w:num w:numId="25">
    <w:abstractNumId w:val="1"/>
  </w:num>
  <w:num w:numId="26">
    <w:abstractNumId w:val="14"/>
  </w:num>
  <w:num w:numId="27">
    <w:abstractNumId w:val="27"/>
  </w:num>
  <w:num w:numId="28">
    <w:abstractNumId w:val="28"/>
  </w:num>
  <w:num w:numId="29">
    <w:abstractNumId w:val="26"/>
  </w:num>
  <w:num w:numId="30">
    <w:abstractNumId w:val="29"/>
  </w:num>
  <w:num w:numId="31">
    <w:abstractNumId w:val="3"/>
  </w:num>
  <w:num w:numId="32">
    <w:abstractNumId w:val="35"/>
  </w:num>
  <w:num w:numId="33">
    <w:abstractNumId w:val="10"/>
  </w:num>
  <w:num w:numId="34">
    <w:abstractNumId w:val="36"/>
  </w:num>
  <w:num w:numId="35">
    <w:abstractNumId w:val="20"/>
  </w:num>
  <w:num w:numId="36">
    <w:abstractNumId w:val="1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5390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3B7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85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899"/>
    <w:rsid w:val="005F2134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4BE1"/>
    <w:rsid w:val="006A51FD"/>
    <w:rsid w:val="006A5781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713"/>
    <w:rsid w:val="006C2F41"/>
    <w:rsid w:val="006C34F5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3E6"/>
    <w:rsid w:val="0071052F"/>
    <w:rsid w:val="007108D4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DE6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3DE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CA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3CB"/>
    <w:rsid w:val="00884465"/>
    <w:rsid w:val="008845F6"/>
    <w:rsid w:val="00884C78"/>
    <w:rsid w:val="00884D0A"/>
    <w:rsid w:val="0088538D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0FD5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3BD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5782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F7"/>
    <w:rsid w:val="00C863C5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431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5247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9C7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F1C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nstats.un.org/unsd/envaccounting/seea.as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eb.worldbank.org/WBSITE/EXTERNAL/BANCOMUNDIAL/NEWSSPANISH/0,,contentMDK:23190063~pagePK:34370~piPK:34424~theSitePK:1074568,00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.worldbank.org/WBSITE/EXTERNAL/TOPICS/ENVIRONMENT/0,,contentMDK:23124612~pagePK:148956~piPK:216618~theSitePK:244381,00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dane.gov.co/index.php?option=com_content&amp;view=article&amp;id=935&amp;Itemid=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nrepcultural.org/blaavirtual/ayudadetareas/economia/econo95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796D-CDF3-4FB5-8BD9-9900F043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2012-05-21T17:13:00Z</dcterms:created>
  <dcterms:modified xsi:type="dcterms:W3CDTF">2012-05-21T20:35:00Z</dcterms:modified>
</cp:coreProperties>
</file>