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D4" w:rsidRPr="001968D4" w:rsidRDefault="001968D4" w:rsidP="001968D4">
      <w:pPr>
        <w:keepNext/>
        <w:framePr w:dropCap="drop" w:lines="3" w:wrap="around" w:vAnchor="text" w:hAnchor="text"/>
        <w:spacing w:after="0" w:line="1526" w:lineRule="exact"/>
        <w:textAlignment w:val="baseline"/>
        <w:rPr>
          <w:rFonts w:cs="Calibri"/>
          <w:position w:val="16"/>
          <w:sz w:val="174"/>
        </w:rPr>
      </w:pPr>
      <w:r w:rsidRPr="001968D4">
        <w:rPr>
          <w:rFonts w:cs="Calibri"/>
          <w:position w:val="16"/>
          <w:sz w:val="174"/>
        </w:rPr>
        <w:t>¿</w:t>
      </w:r>
    </w:p>
    <w:p w:rsidR="001968D4" w:rsidRPr="001968D4" w:rsidRDefault="001968D4" w:rsidP="001968D4">
      <w:r w:rsidRPr="001968D4">
        <w:lastRenderedPageBreak/>
        <w:t>Cuántos libros necesita la conversión a NIIF?</w:t>
      </w:r>
    </w:p>
    <w:p w:rsidR="001968D4" w:rsidRPr="001968D4" w:rsidRDefault="00666A3E" w:rsidP="001968D4">
      <w:r>
        <w:t>L</w:t>
      </w:r>
      <w:r w:rsidR="001968D4" w:rsidRPr="001968D4">
        <w:t>a globalización de los mercados</w:t>
      </w:r>
      <w:r>
        <w:t xml:space="preserve"> y</w:t>
      </w:r>
      <w:r w:rsidR="001968D4" w:rsidRPr="001968D4">
        <w:t xml:space="preserve"> la necesidad de armonizar los contextos jurídicos, fiscales y contables han</w:t>
      </w:r>
      <w:r w:rsidR="001968D4">
        <w:t xml:space="preserve"> </w:t>
      </w:r>
      <w:r w:rsidR="001968D4" w:rsidRPr="001968D4">
        <w:t>generado la necesidad de la adopción de las Normas Internacionales de Contabilidad por parte de muchos países en todo el mundo</w:t>
      </w:r>
      <w:r w:rsidR="001968D4">
        <w:t>,</w:t>
      </w:r>
      <w:r w:rsidR="001968D4" w:rsidRPr="001968D4">
        <w:t xml:space="preserve"> sin ser Colombia la excepción, </w:t>
      </w:r>
      <w:r w:rsidR="001968D4">
        <w:t xml:space="preserve">véase la </w:t>
      </w:r>
      <w:hyperlink r:id="rId9" w:history="1">
        <w:r w:rsidR="001968D4" w:rsidRPr="001968D4">
          <w:rPr>
            <w:rStyle w:val="Hipervnculo"/>
          </w:rPr>
          <w:t>Ley 1314 de 2009</w:t>
        </w:r>
      </w:hyperlink>
      <w:r w:rsidR="001968D4" w:rsidRPr="001968D4">
        <w:t>. Al conocer cada día de esfuerzos en la conversión, surgen vacíos que se espera sean resueltos por el CTCP</w:t>
      </w:r>
      <w:r w:rsidR="006777E4" w:rsidRPr="001968D4">
        <w:rPr>
          <w:vertAlign w:val="superscript"/>
        </w:rPr>
        <w:footnoteReference w:id="1"/>
      </w:r>
      <w:r>
        <w:t>,</w:t>
      </w:r>
      <w:r w:rsidR="001968D4" w:rsidRPr="001968D4">
        <w:t xml:space="preserve"> organismo de carácter público encargado por la ley </w:t>
      </w:r>
      <w:r>
        <w:t>de</w:t>
      </w:r>
      <w:r w:rsidR="001968D4" w:rsidRPr="001968D4">
        <w:t xml:space="preserve"> este tipo de situaciones. </w:t>
      </w:r>
    </w:p>
    <w:p w:rsidR="001968D4" w:rsidRPr="001968D4" w:rsidRDefault="001968D4" w:rsidP="001968D4">
      <w:r w:rsidRPr="001968D4">
        <w:t xml:space="preserve">Tomando algunos ejemplos de diferencias que se suscitarán </w:t>
      </w:r>
      <w:r w:rsidR="00666A3E">
        <w:t>con</w:t>
      </w:r>
      <w:r w:rsidRPr="001968D4">
        <w:t xml:space="preserve"> la adopción a NIIF, algunas específicamente iden</w:t>
      </w:r>
      <w:r w:rsidR="00666A3E">
        <w:t>tificadas en el subsector fiduciario y b</w:t>
      </w:r>
      <w:r w:rsidRPr="001968D4">
        <w:t>ancario</w:t>
      </w:r>
      <w:r w:rsidR="00666A3E">
        <w:t>,</w:t>
      </w:r>
      <w:r w:rsidRPr="001968D4">
        <w:t xml:space="preserve"> que se encuentra en el grupo No.1 según la directriz del CTCP para la conversión a partir del 01 Enero de 2013, encontramos por ejemplo</w:t>
      </w:r>
      <w:r w:rsidR="00666A3E" w:rsidRPr="001968D4">
        <w:rPr>
          <w:vertAlign w:val="superscript"/>
        </w:rPr>
        <w:footnoteReference w:id="2"/>
      </w:r>
      <w:r w:rsidR="00666A3E">
        <w:t>:</w:t>
      </w:r>
    </w:p>
    <w:p w:rsidR="001968D4" w:rsidRPr="001968D4" w:rsidRDefault="001968D4" w:rsidP="00666A3E">
      <w:r w:rsidRPr="001968D4">
        <w:t>“</w:t>
      </w:r>
      <w:r w:rsidR="00666A3E">
        <w:t>Efecto de la aplicación total del Pasivo Pensional que hoy la Ley Colombiana permite el</w:t>
      </w:r>
      <w:r w:rsidR="00666A3E">
        <w:t xml:space="preserve"> </w:t>
      </w:r>
      <w:r w:rsidR="00666A3E">
        <w:t>diferimiento hasta el año 2024 para las entidades que se han acogido a esta Norma</w:t>
      </w:r>
      <w:r w:rsidRPr="001968D4">
        <w:t>.</w:t>
      </w:r>
      <w:r w:rsidR="00666A3E">
        <w:t>”</w:t>
      </w:r>
    </w:p>
    <w:p w:rsidR="001968D4" w:rsidRPr="001968D4" w:rsidRDefault="00666A3E" w:rsidP="00666A3E">
      <w:r>
        <w:t>“</w:t>
      </w:r>
      <w:r>
        <w:t>Efecto derivado de la amortización total de las bonificaciones por retiro que hoy el supervisor</w:t>
      </w:r>
      <w:r>
        <w:t xml:space="preserve"> </w:t>
      </w:r>
      <w:r>
        <w:t xml:space="preserve">local, permite su </w:t>
      </w:r>
      <w:proofErr w:type="spellStart"/>
      <w:r>
        <w:t>periodificación</w:t>
      </w:r>
      <w:proofErr w:type="spellEnd"/>
      <w:r>
        <w:t xml:space="preserve"> </w:t>
      </w:r>
      <w:r>
        <w:lastRenderedPageBreak/>
        <w:t>hasta 3 años, previa autorización de ese Organismo</w:t>
      </w:r>
      <w:r w:rsidR="001968D4" w:rsidRPr="001968D4">
        <w:t>”</w:t>
      </w:r>
    </w:p>
    <w:p w:rsidR="001968D4" w:rsidRPr="001968D4" w:rsidRDefault="001968D4" w:rsidP="001968D4">
      <w:r w:rsidRPr="001968D4">
        <w:t>Al igual surgirá diferencia al aplicar l</w:t>
      </w:r>
      <w:r w:rsidR="00BE5D38">
        <w:t>a circular externa que publicará</w:t>
      </w:r>
      <w:r w:rsidRPr="001968D4">
        <w:t xml:space="preserve"> en los próximos días la </w:t>
      </w:r>
      <w:proofErr w:type="spellStart"/>
      <w:r w:rsidRPr="001968D4">
        <w:t>Superfinanciera</w:t>
      </w:r>
      <w:proofErr w:type="spellEnd"/>
      <w:r w:rsidRPr="001968D4">
        <w:t xml:space="preserve"> </w:t>
      </w:r>
      <w:r w:rsidR="00BE5D38">
        <w:t>(</w:t>
      </w:r>
      <w:r w:rsidRPr="001968D4">
        <w:t>a propósito el plazo para realizar comentarios se venció el pasado 24 de Mayo</w:t>
      </w:r>
      <w:r w:rsidR="00BE5D38">
        <w:t>)</w:t>
      </w:r>
      <w:r w:rsidRPr="001968D4">
        <w:t xml:space="preserve"> </w:t>
      </w:r>
      <w:r w:rsidR="00BE5D38">
        <w:t>en la cual</w:t>
      </w:r>
      <w:r w:rsidRPr="001968D4">
        <w:t xml:space="preserve"> se pretende obligar a sus vigiladas a “constituir una provisión individual adicional en forma temporal sobre la cartera de consumo con el propósito de promover el sano crecimiento y la correcta </w:t>
      </w:r>
      <w:proofErr w:type="spellStart"/>
      <w:r w:rsidRPr="001968D4">
        <w:t>originación</w:t>
      </w:r>
      <w:proofErr w:type="spellEnd"/>
      <w:r w:rsidRPr="001968D4">
        <w:t xml:space="preserve"> del crédito de consumo”.</w:t>
      </w:r>
    </w:p>
    <w:p w:rsidR="001968D4" w:rsidRPr="001968D4" w:rsidRDefault="001968D4" w:rsidP="001968D4">
      <w:r w:rsidRPr="001968D4">
        <w:t xml:space="preserve">El impacto </w:t>
      </w:r>
      <w:r w:rsidR="006777E4" w:rsidRPr="001968D4">
        <w:t xml:space="preserve">derivado de estos ajustes </w:t>
      </w:r>
      <w:r w:rsidRPr="001968D4">
        <w:t>es negativo en el patrimonio al preparar el balance cero o de apertura el 01 Enero de 2013</w:t>
      </w:r>
      <w:r w:rsidR="00F227D8">
        <w:t>. S</w:t>
      </w:r>
      <w:r w:rsidRPr="001968D4">
        <w:t>iendo necesario dar de baja o des</w:t>
      </w:r>
      <w:r w:rsidR="006777E4">
        <w:t>-</w:t>
      </w:r>
      <w:r w:rsidRPr="001968D4">
        <w:t>reconocer esas contabilizaciones se afectar</w:t>
      </w:r>
      <w:r w:rsidR="006777E4">
        <w:t>á</w:t>
      </w:r>
      <w:r w:rsidRPr="001968D4">
        <w:t xml:space="preserve"> en la misma proporción la solvencia de la entidad. A la luz de </w:t>
      </w:r>
      <w:r w:rsidR="006777E4">
        <w:t xml:space="preserve">las </w:t>
      </w:r>
      <w:r w:rsidRPr="001968D4">
        <w:t>NIIF los tres casos descritos no tendrán aceptación y reconocimiento al no cumplir con las calidades exigidas para ser incorporados en el conjunto de estados financieros completo prescrito según el marco conceptual de las NIIF.</w:t>
      </w:r>
    </w:p>
    <w:p w:rsidR="001968D4" w:rsidRPr="001968D4" w:rsidRDefault="001968D4" w:rsidP="001968D4">
      <w:r w:rsidRPr="001968D4">
        <w:t>En conclusión</w:t>
      </w:r>
      <w:r w:rsidR="006777E4">
        <w:t>,</w:t>
      </w:r>
      <w:r w:rsidRPr="001968D4">
        <w:t xml:space="preserve"> si la entidad de vigilancia y control sigue legislando en materia contable</w:t>
      </w:r>
      <w:r w:rsidR="00F227D8">
        <w:t xml:space="preserve"> como lo ha hecho</w:t>
      </w:r>
      <w:bookmarkStart w:id="0" w:name="_GoBack"/>
      <w:bookmarkEnd w:id="0"/>
      <w:r w:rsidR="006777E4">
        <w:t>,</w:t>
      </w:r>
      <w:r w:rsidRPr="001968D4">
        <w:t xml:space="preserve"> surge la pregunta</w:t>
      </w:r>
      <w:r w:rsidR="006777E4">
        <w:t>:</w:t>
      </w:r>
      <w:r w:rsidRPr="001968D4">
        <w:t xml:space="preserve"> ¿Cuántos libros necesita la conversión a NIIF? ¿Uno para la norma local, otro para NIIF, otro para la DIAN y otro para la entidad de supervisión, vigilancia y control? Por lo menos mientras transcurre el periodo paralelo de emisión de </w:t>
      </w:r>
      <w:r w:rsidR="006777E4">
        <w:t>estados financieros bajo norma c</w:t>
      </w:r>
      <w:r w:rsidRPr="001968D4">
        <w:t>olombiana</w:t>
      </w:r>
      <w:r w:rsidR="006777E4">
        <w:t xml:space="preserve"> e IFRS (por sus siglas en inglé</w:t>
      </w:r>
      <w:r w:rsidRPr="001968D4">
        <w:t xml:space="preserve">s) el CTCP deberá </w:t>
      </w:r>
      <w:r w:rsidR="006777E4">
        <w:t>aclarar</w:t>
      </w:r>
      <w:r w:rsidRPr="001968D4">
        <w:t xml:space="preserve"> el tema.</w:t>
      </w:r>
    </w:p>
    <w:p w:rsidR="000E22A0" w:rsidRPr="00204F96" w:rsidRDefault="001968D4" w:rsidP="001968D4">
      <w:pPr>
        <w:jc w:val="right"/>
      </w:pPr>
      <w:r w:rsidRPr="001968D4">
        <w:rPr>
          <w:i/>
        </w:rPr>
        <w:t>Jorge Hernando Muñoz Escobar</w:t>
      </w:r>
    </w:p>
    <w:sectPr w:rsidR="000E22A0" w:rsidRPr="00204F96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73" w:rsidRDefault="00541073" w:rsidP="00EE7812">
      <w:pPr>
        <w:spacing w:after="0" w:line="240" w:lineRule="auto"/>
      </w:pPr>
      <w:r>
        <w:separator/>
      </w:r>
    </w:p>
  </w:endnote>
  <w:endnote w:type="continuationSeparator" w:id="0">
    <w:p w:rsidR="00541073" w:rsidRDefault="005410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73" w:rsidRDefault="00541073" w:rsidP="00EE7812">
      <w:pPr>
        <w:spacing w:after="0" w:line="240" w:lineRule="auto"/>
      </w:pPr>
      <w:r>
        <w:separator/>
      </w:r>
    </w:p>
  </w:footnote>
  <w:footnote w:type="continuationSeparator" w:id="0">
    <w:p w:rsidR="00541073" w:rsidRDefault="00541073" w:rsidP="00EE7812">
      <w:pPr>
        <w:spacing w:after="0" w:line="240" w:lineRule="auto"/>
      </w:pPr>
      <w:r>
        <w:continuationSeparator/>
      </w:r>
    </w:p>
  </w:footnote>
  <w:footnote w:id="1">
    <w:p w:rsidR="006777E4" w:rsidRPr="006E3ACC" w:rsidRDefault="006777E4" w:rsidP="006777E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Consejo Técnico de Contaduría Pública</w:t>
      </w:r>
    </w:p>
  </w:footnote>
  <w:footnote w:id="2">
    <w:p w:rsidR="00666A3E" w:rsidRDefault="00666A3E" w:rsidP="00666A3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IFRS: Documentos de impactos, conclusiones y recomendaciones. Comité Técnico del Sector Financiero, mayo de 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0A64A5">
      <w:t>2</w:t>
    </w:r>
    <w:r w:rsidR="00204F96">
      <w:t>1</w:t>
    </w:r>
    <w:r w:rsidR="009D09BB">
      <w:t xml:space="preserve">, </w:t>
    </w:r>
    <w:r w:rsidR="00134B6C">
      <w:t>mayo</w:t>
    </w:r>
    <w:r w:rsidR="002424E2">
      <w:t xml:space="preserve"> </w:t>
    </w:r>
    <w:r w:rsidR="00084BB1">
      <w:t>2</w:t>
    </w:r>
    <w:r w:rsidR="00797B37">
      <w:t>8</w:t>
    </w:r>
    <w:r w:rsidR="0005771D">
      <w:t xml:space="preserve"> </w:t>
    </w:r>
    <w:r w:rsidR="0080786C">
      <w:t>de 201</w:t>
    </w:r>
    <w:r w:rsidR="00297D4C">
      <w:t>2</w:t>
    </w:r>
  </w:p>
  <w:p w:rsidR="0046164F" w:rsidRDefault="0054107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4AE7"/>
    <w:multiLevelType w:val="hybridMultilevel"/>
    <w:tmpl w:val="0AC0C86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1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04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4A5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8D4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96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978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3B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67E9C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073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6A3E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7E4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278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A6E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3E6"/>
    <w:rsid w:val="0071052F"/>
    <w:rsid w:val="007108D4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43F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126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65FB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97B37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5446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CB7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D38"/>
    <w:rsid w:val="00BE5F63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888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27D8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BC93-CBE8-4885-B38D-23D9D96B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8</cp:revision>
  <cp:lastPrinted>2011-08-23T16:28:00Z</cp:lastPrinted>
  <dcterms:created xsi:type="dcterms:W3CDTF">2012-05-28T14:03:00Z</dcterms:created>
  <dcterms:modified xsi:type="dcterms:W3CDTF">2012-05-28T14:35:00Z</dcterms:modified>
</cp:coreProperties>
</file>