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9780E" w14:textId="77EC25CE" w:rsidR="009D32E0" w:rsidRPr="009D32E0" w:rsidRDefault="009D32E0" w:rsidP="009D32E0">
      <w:pPr>
        <w:keepNext/>
        <w:framePr w:dropCap="drop" w:lines="3" w:wrap="around" w:vAnchor="text" w:hAnchor="text"/>
        <w:spacing w:after="0" w:line="926" w:lineRule="exact"/>
        <w:textAlignment w:val="baseline"/>
        <w:rPr>
          <w:rFonts w:eastAsia="Malgun Gothic"/>
          <w:position w:val="-9"/>
          <w:sz w:val="123"/>
        </w:rPr>
      </w:pPr>
      <w:r w:rsidRPr="009D32E0">
        <w:rPr>
          <w:rFonts w:eastAsia="Malgun Gothic"/>
          <w:position w:val="-9"/>
          <w:sz w:val="123"/>
        </w:rPr>
        <w:t>E</w:t>
      </w:r>
    </w:p>
    <w:p w14:paraId="1FF84CD8" w14:textId="0C559615" w:rsidR="009D32E0" w:rsidRPr="009D32E0" w:rsidRDefault="009D32E0" w:rsidP="009D32E0">
      <w:pPr>
        <w:rPr>
          <w:rFonts w:eastAsia="Malgun Gothic"/>
        </w:rPr>
      </w:pPr>
      <w:r w:rsidRPr="009D32E0">
        <w:rPr>
          <w:rFonts w:eastAsia="Malgun Gothic"/>
        </w:rPr>
        <w:t xml:space="preserve">s decir, la autoridad de regulación son los ministerios por vía de decretos reglamentarios de la </w:t>
      </w:r>
      <w:hyperlink r:id="rId8" w:history="1">
        <w:r w:rsidRPr="00ED015B">
          <w:rPr>
            <w:rStyle w:val="Hipervnculo"/>
            <w:rFonts w:eastAsia="Malgun Gothic"/>
          </w:rPr>
          <w:t>Ley 1314</w:t>
        </w:r>
      </w:hyperlink>
      <w:r w:rsidRPr="009D32E0">
        <w:rPr>
          <w:rFonts w:eastAsia="Malgun Gothic"/>
        </w:rPr>
        <w:t xml:space="preserve"> y no las superintendencias mediante la expedición de resoluciones, circulares externas, cartas circulares o cartas.</w:t>
      </w:r>
    </w:p>
    <w:p w14:paraId="4CD7A40A" w14:textId="4A891336" w:rsidR="009D32E0" w:rsidRPr="009D32E0" w:rsidRDefault="009D32E0" w:rsidP="009D32E0">
      <w:pPr>
        <w:rPr>
          <w:rFonts w:eastAsia="Malgun Gothic"/>
        </w:rPr>
      </w:pPr>
      <w:r w:rsidRPr="009D32E0">
        <w:rPr>
          <w:rFonts w:eastAsia="Malgun Gothic"/>
        </w:rPr>
        <w:t>Y para precisar esto</w:t>
      </w:r>
      <w:r>
        <w:rPr>
          <w:rFonts w:eastAsia="Malgun Gothic"/>
        </w:rPr>
        <w:t xml:space="preserve"> </w:t>
      </w:r>
      <w:r w:rsidRPr="009D32E0">
        <w:rPr>
          <w:rFonts w:eastAsia="Malgun Gothic"/>
        </w:rPr>
        <w:t xml:space="preserve">fue necesario que el legislador </w:t>
      </w:r>
      <w:r>
        <w:rPr>
          <w:rFonts w:eastAsia="Malgun Gothic"/>
        </w:rPr>
        <w:t>puntualizara</w:t>
      </w:r>
      <w:r w:rsidRPr="009D32E0">
        <w:rPr>
          <w:rFonts w:eastAsia="Malgun Gothic"/>
        </w:rPr>
        <w:t xml:space="preserve"> en el parágrafo del artículo 6 de la </w:t>
      </w:r>
      <w:r>
        <w:rPr>
          <w:rFonts w:eastAsia="Malgun Gothic"/>
        </w:rPr>
        <w:t>L</w:t>
      </w:r>
      <w:r w:rsidRPr="009D32E0">
        <w:rPr>
          <w:rFonts w:eastAsia="Malgun Gothic"/>
        </w:rPr>
        <w:t xml:space="preserve">ey 1314 que </w:t>
      </w:r>
      <w:r w:rsidRPr="009D32E0">
        <w:rPr>
          <w:rFonts w:eastAsia="Malgun Gothic"/>
          <w:i/>
        </w:rPr>
        <w:t xml:space="preserve">“(…) las entidades estatales que ejerzan funciones de </w:t>
      </w:r>
      <w:proofErr w:type="gramStart"/>
      <w:r w:rsidRPr="009D32E0">
        <w:rPr>
          <w:rFonts w:eastAsia="Malgun Gothic"/>
          <w:i/>
        </w:rPr>
        <w:t>supervisión,</w:t>
      </w:r>
      <w:proofErr w:type="gramEnd"/>
      <w:r w:rsidRPr="009D32E0">
        <w:rPr>
          <w:rFonts w:eastAsia="Malgun Gothic"/>
          <w:i/>
        </w:rPr>
        <w:t xml:space="preserve"> ejercerán sus facultades en los términos señalados en el artículo 10 de la presente ley.”.</w:t>
      </w:r>
      <w:r w:rsidRPr="009D32E0">
        <w:rPr>
          <w:rFonts w:eastAsia="Malgun Gothic"/>
          <w:iCs/>
        </w:rPr>
        <w:t xml:space="preserve"> Con toda claridad, en este artículo el legislador les limitó la facultad de emitir normas</w:t>
      </w:r>
      <w:r w:rsidRPr="009D32E0">
        <w:rPr>
          <w:rFonts w:eastAsia="Malgun Gothic"/>
        </w:rPr>
        <w:t xml:space="preserve"> generales.</w:t>
      </w:r>
    </w:p>
    <w:p w14:paraId="07BCDFEA" w14:textId="77777777" w:rsidR="009D32E0" w:rsidRPr="009D32E0" w:rsidRDefault="009D32E0" w:rsidP="009D32E0">
      <w:pPr>
        <w:rPr>
          <w:rFonts w:eastAsia="Malgun Gothic"/>
          <w:b/>
          <w:i/>
        </w:rPr>
      </w:pPr>
      <w:bookmarkStart w:id="0" w:name="_Toc434744025"/>
      <w:r w:rsidRPr="009D32E0">
        <w:rPr>
          <w:rFonts w:eastAsia="Malgun Gothic"/>
          <w:b/>
          <w:i/>
        </w:rPr>
        <w:t>Porque las superintendencias no tienen facultades para emitir normas generales de contabilidad</w:t>
      </w:r>
      <w:bookmarkEnd w:id="0"/>
    </w:p>
    <w:p w14:paraId="73E6C409" w14:textId="77777777" w:rsidR="009D32E0" w:rsidRPr="009D32E0" w:rsidRDefault="009D32E0" w:rsidP="009D32E0">
      <w:pPr>
        <w:rPr>
          <w:rFonts w:eastAsia="Malgun Gothic"/>
        </w:rPr>
      </w:pPr>
      <w:r w:rsidRPr="009D32E0">
        <w:rPr>
          <w:rFonts w:eastAsia="Malgun Gothic"/>
        </w:rPr>
        <w:t xml:space="preserve">Como bien lo establece la ley 1314, las superintendencias sólo tienen facultades para </w:t>
      </w:r>
      <w:r w:rsidRPr="009D32E0">
        <w:rPr>
          <w:rFonts w:eastAsia="Malgun Gothic"/>
          <w:i/>
        </w:rPr>
        <w:t xml:space="preserve">“Expedir normas técnicas </w:t>
      </w:r>
      <w:r w:rsidRPr="009D32E0">
        <w:rPr>
          <w:rFonts w:eastAsia="Malgun Gothic"/>
          <w:i/>
          <w:u w:val="single"/>
        </w:rPr>
        <w:t>especiales</w:t>
      </w:r>
      <w:r w:rsidRPr="009D32E0">
        <w:rPr>
          <w:rFonts w:eastAsia="Malgun Gothic"/>
          <w:i/>
        </w:rPr>
        <w:t xml:space="preserve">, </w:t>
      </w:r>
      <w:r w:rsidRPr="009D32E0">
        <w:rPr>
          <w:rFonts w:eastAsia="Malgun Gothic"/>
          <w:i/>
          <w:u w:val="single"/>
        </w:rPr>
        <w:t>interpretaciones</w:t>
      </w:r>
      <w:r w:rsidRPr="009D32E0">
        <w:rPr>
          <w:rFonts w:eastAsia="Malgun Gothic"/>
          <w:i/>
        </w:rPr>
        <w:t xml:space="preserve"> y </w:t>
      </w:r>
      <w:r w:rsidRPr="009D32E0">
        <w:rPr>
          <w:rFonts w:eastAsia="Malgun Gothic"/>
          <w:i/>
          <w:u w:val="single"/>
        </w:rPr>
        <w:t>guías</w:t>
      </w:r>
      <w:r w:rsidRPr="009D32E0">
        <w:rPr>
          <w:rFonts w:eastAsia="Malgun Gothic"/>
          <w:i/>
        </w:rPr>
        <w:t xml:space="preserve"> en materia de contabilidad y de información financiera y de aseguramiento de información. Estas actuaciones administrativas, deberán producirse dentro de los límites fijados en la Constitución, en la presente ley y en las normas que la reglamenten y desarrollen.”</w:t>
      </w:r>
      <w:r w:rsidRPr="009D32E0">
        <w:rPr>
          <w:rFonts w:eastAsia="Malgun Gothic"/>
        </w:rPr>
        <w:t>, según lo consagra el numeral 2 del artículo 10. Las subrayas son mías.</w:t>
      </w:r>
    </w:p>
    <w:p w14:paraId="282AB244" w14:textId="74886244" w:rsidR="009D32E0" w:rsidRPr="009D32E0" w:rsidRDefault="009D32E0" w:rsidP="009D32E0">
      <w:pPr>
        <w:rPr>
          <w:rFonts w:eastAsia="Malgun Gothic"/>
        </w:rPr>
      </w:pPr>
      <w:r w:rsidRPr="009D32E0">
        <w:rPr>
          <w:rFonts w:eastAsia="Malgun Gothic"/>
        </w:rPr>
        <w:t xml:space="preserve">Esto significa que su regulación sólo puede limitarse a aquellas normas que sean especiales, es decir, subordinadas a las normas generales que sólo pueden emitir los ministerios (decretos reglamentarios de la </w:t>
      </w:r>
      <w:r>
        <w:rPr>
          <w:rFonts w:eastAsia="Malgun Gothic"/>
        </w:rPr>
        <w:t>L</w:t>
      </w:r>
      <w:r w:rsidRPr="009D32E0">
        <w:rPr>
          <w:rFonts w:eastAsia="Malgun Gothic"/>
        </w:rPr>
        <w:t>ey 1314).</w:t>
      </w:r>
    </w:p>
    <w:p w14:paraId="369C3BD4" w14:textId="27AFBC40" w:rsidR="009D32E0" w:rsidRPr="009D32E0" w:rsidRDefault="009D32E0" w:rsidP="009D32E0">
      <w:pPr>
        <w:rPr>
          <w:rFonts w:eastAsia="Malgun Gothic"/>
        </w:rPr>
      </w:pPr>
      <w:r w:rsidRPr="009D32E0">
        <w:rPr>
          <w:rFonts w:eastAsia="Malgun Gothic"/>
        </w:rPr>
        <w:t>Tomando como referencia la acepción 5 de “</w:t>
      </w:r>
      <w:hyperlink r:id="rId9" w:history="1">
        <w:r w:rsidRPr="00ED015B">
          <w:rPr>
            <w:rStyle w:val="Hipervnculo"/>
            <w:rFonts w:eastAsia="Malgun Gothic"/>
          </w:rPr>
          <w:t>técnica</w:t>
        </w:r>
      </w:hyperlink>
      <w:r w:rsidRPr="009D32E0">
        <w:rPr>
          <w:rFonts w:eastAsia="Malgun Gothic"/>
        </w:rPr>
        <w:t xml:space="preserve">” del </w:t>
      </w:r>
      <w:r>
        <w:rPr>
          <w:rFonts w:eastAsia="Malgun Gothic"/>
        </w:rPr>
        <w:t>D</w:t>
      </w:r>
      <w:r w:rsidRPr="009D32E0">
        <w:rPr>
          <w:rFonts w:eastAsia="Malgun Gothic"/>
        </w:rPr>
        <w:t xml:space="preserve">iccionario </w:t>
      </w:r>
      <w:r>
        <w:rPr>
          <w:rFonts w:eastAsia="Malgun Gothic"/>
        </w:rPr>
        <w:t>de la Real Academia</w:t>
      </w:r>
      <w:r w:rsidRPr="009D32E0">
        <w:rPr>
          <w:rFonts w:eastAsia="Malgun Gothic"/>
        </w:rPr>
        <w:t xml:space="preserve"> y la acepción 1 de “</w:t>
      </w:r>
      <w:hyperlink r:id="rId10" w:history="1">
        <w:r w:rsidRPr="00ED015B">
          <w:rPr>
            <w:rStyle w:val="Hipervnculo"/>
            <w:rFonts w:eastAsia="Malgun Gothic"/>
          </w:rPr>
          <w:t>especial</w:t>
        </w:r>
      </w:hyperlink>
      <w:r w:rsidRPr="009D32E0">
        <w:rPr>
          <w:rFonts w:eastAsia="Malgun Gothic"/>
        </w:rPr>
        <w:t xml:space="preserve">” del mismo diccionario, se puede afirmar que una </w:t>
      </w:r>
      <w:r w:rsidRPr="009D32E0">
        <w:rPr>
          <w:rFonts w:eastAsia="Malgun Gothic"/>
          <w:b/>
          <w:bCs/>
        </w:rPr>
        <w:t>norma técnica especial</w:t>
      </w:r>
      <w:r w:rsidRPr="009D32E0">
        <w:rPr>
          <w:rFonts w:eastAsia="Malgun Gothic"/>
        </w:rPr>
        <w:t xml:space="preserve"> es, entonces, una disposición que regula los procedimientos o especificaciones sobre un aspecto en particular para dar cumplimiento a una norma técnica general (que están plasmadas en decretos y leyes).</w:t>
      </w:r>
    </w:p>
    <w:p w14:paraId="586F0C74" w14:textId="77777777" w:rsidR="009D32E0" w:rsidRPr="009D32E0" w:rsidRDefault="009D32E0" w:rsidP="009D32E0">
      <w:pPr>
        <w:rPr>
          <w:rFonts w:eastAsia="Malgun Gothic"/>
        </w:rPr>
      </w:pPr>
      <w:r w:rsidRPr="009D32E0">
        <w:rPr>
          <w:rFonts w:eastAsia="Malgun Gothic"/>
        </w:rPr>
        <w:t>Es claro entonces que con esta disposición el legislador limitó la facultad que tenían los supervisores de emitir normas contables generales, razón por la cual sus resoluciones, circulares externas y sus cartas circulares deben subordinarse a las disposiciones emitidas mediante leyes y decretos reglamentarios de la ley 1314. Porque de haber querido el legislador que las superintendencias siguieran con sus funciones, no se hubiera tomado la molestia de limitar el alcance de regulación contable de las superintendencias, tal como quedó regulado en el artículo 10 de la ley 1314.</w:t>
      </w:r>
    </w:p>
    <w:p w14:paraId="1568BB27" w14:textId="77777777" w:rsidR="009D32E0" w:rsidRPr="009D32E0" w:rsidRDefault="009D32E0" w:rsidP="009D32E0">
      <w:pPr>
        <w:rPr>
          <w:rFonts w:eastAsia="Malgun Gothic"/>
        </w:rPr>
      </w:pPr>
      <w:r w:rsidRPr="009D32E0">
        <w:rPr>
          <w:rFonts w:eastAsia="Malgun Gothic"/>
        </w:rPr>
        <w:t xml:space="preserve">Si el legislador hubiese querido que las superintendencias siguieran con esa facultad, tampoco hubiera investido a los ministerios de la facultad de regulación, ni le habría asignado al Consejo Técnico de la Contaduría Pública la autoridad de normalizador técnico, según se consagró en el artículo 6 de la ley 1314. </w:t>
      </w:r>
    </w:p>
    <w:p w14:paraId="6DE0850E" w14:textId="10EAE9E4" w:rsidR="009D32E0" w:rsidRDefault="00BE5185" w:rsidP="009D32E0">
      <w:pPr>
        <w:rPr>
          <w:rFonts w:eastAsia="Malgun Gothic"/>
        </w:rPr>
      </w:pPr>
      <w:r>
        <w:rPr>
          <w:rFonts w:eastAsia="Malgun Gothic"/>
        </w:rPr>
        <w:t>(Continua)</w:t>
      </w:r>
    </w:p>
    <w:p w14:paraId="1F1B972A" w14:textId="2A907648" w:rsidR="00BE5185" w:rsidRPr="009D32E0" w:rsidRDefault="00BE5185" w:rsidP="00BE5185">
      <w:pPr>
        <w:jc w:val="right"/>
        <w:rPr>
          <w:rFonts w:eastAsia="Malgun Gothic"/>
          <w:i/>
          <w:iCs/>
        </w:rPr>
      </w:pPr>
      <w:r w:rsidRPr="00BE5185">
        <w:rPr>
          <w:rFonts w:eastAsia="Malgun Gothic"/>
          <w:i/>
          <w:iCs/>
        </w:rPr>
        <w:t>Luis Humberto Ramírez Barrios</w:t>
      </w:r>
    </w:p>
    <w:sectPr w:rsidR="00BE5185" w:rsidRPr="009D32E0"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63D9E" w14:textId="77777777" w:rsidR="00960EC0" w:rsidRDefault="00960EC0" w:rsidP="00EE7812">
      <w:pPr>
        <w:spacing w:after="0" w:line="240" w:lineRule="auto"/>
      </w:pPr>
      <w:r>
        <w:separator/>
      </w:r>
    </w:p>
  </w:endnote>
  <w:endnote w:type="continuationSeparator" w:id="0">
    <w:p w14:paraId="6B84AD00" w14:textId="77777777" w:rsidR="00960EC0" w:rsidRDefault="00960EC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92569" w14:textId="77777777" w:rsidR="00960EC0" w:rsidRDefault="00960EC0" w:rsidP="00EE7812">
      <w:pPr>
        <w:spacing w:after="0" w:line="240" w:lineRule="auto"/>
      </w:pPr>
      <w:r>
        <w:separator/>
      </w:r>
    </w:p>
  </w:footnote>
  <w:footnote w:type="continuationSeparator" w:id="0">
    <w:p w14:paraId="01F6D6D3" w14:textId="77777777" w:rsidR="00960EC0" w:rsidRDefault="00960EC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9BD583A" w:rsidR="00DD2DD9" w:rsidRDefault="00DD2DD9" w:rsidP="00613BC8">
    <w:pPr>
      <w:pStyle w:val="Encabezado"/>
      <w:tabs>
        <w:tab w:val="left" w:pos="2580"/>
        <w:tab w:val="left" w:pos="2985"/>
      </w:tabs>
      <w:spacing w:line="276" w:lineRule="auto"/>
      <w:jc w:val="right"/>
    </w:pPr>
    <w:r>
      <w:t>Número 5</w:t>
    </w:r>
    <w:r w:rsidR="00E059A6">
      <w:t>2</w:t>
    </w:r>
    <w:r w:rsidR="00DF1909">
      <w:t>3</w:t>
    </w:r>
    <w:r w:rsidR="009D32E0">
      <w:t>7</w:t>
    </w:r>
    <w:r>
      <w:t xml:space="preserve">, </w:t>
    </w:r>
    <w:r w:rsidR="00251224">
      <w:t>10</w:t>
    </w:r>
    <w:r w:rsidR="00435BB8">
      <w:t xml:space="preserve"> de agosto</w:t>
    </w:r>
    <w:r>
      <w:t xml:space="preserve"> de 2020</w:t>
    </w:r>
  </w:p>
  <w:p w14:paraId="29566F03" w14:textId="77777777" w:rsidR="00DD2DD9" w:rsidRDefault="00960EC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3"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6"/>
  </w:num>
  <w:num w:numId="7">
    <w:abstractNumId w:val="8"/>
  </w:num>
  <w:num w:numId="8">
    <w:abstractNumId w:val="24"/>
  </w:num>
  <w:num w:numId="9">
    <w:abstractNumId w:val="27"/>
  </w:num>
  <w:num w:numId="10">
    <w:abstractNumId w:val="2"/>
  </w:num>
  <w:num w:numId="11">
    <w:abstractNumId w:val="4"/>
  </w:num>
  <w:num w:numId="12">
    <w:abstractNumId w:val="12"/>
  </w:num>
  <w:num w:numId="13">
    <w:abstractNumId w:val="15"/>
  </w:num>
  <w:num w:numId="14">
    <w:abstractNumId w:val="23"/>
  </w:num>
  <w:num w:numId="15">
    <w:abstractNumId w:val="7"/>
  </w:num>
  <w:num w:numId="16">
    <w:abstractNumId w:val="5"/>
  </w:num>
  <w:num w:numId="17">
    <w:abstractNumId w:val="11"/>
  </w:num>
  <w:num w:numId="18">
    <w:abstractNumId w:val="22"/>
  </w:num>
  <w:num w:numId="19">
    <w:abstractNumId w:val="18"/>
  </w:num>
  <w:num w:numId="20">
    <w:abstractNumId w:val="6"/>
  </w:num>
  <w:num w:numId="21">
    <w:abstractNumId w:val="19"/>
  </w:num>
  <w:num w:numId="22">
    <w:abstractNumId w:val="20"/>
  </w:num>
  <w:num w:numId="23">
    <w:abstractNumId w:val="21"/>
  </w:num>
  <w:num w:numId="24">
    <w:abstractNumId w:val="25"/>
  </w:num>
  <w:num w:numId="25">
    <w:abstractNumId w:val="16"/>
  </w:num>
  <w:num w:numId="26">
    <w:abstractNumId w:val="9"/>
  </w:num>
  <w:num w:numId="27">
    <w:abstractNumId w:val="3"/>
  </w:num>
  <w:num w:numId="28">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AE"/>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DB"/>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0E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0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5B"/>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6EA"/>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7725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le.rae.es/especial?m=form" TargetMode="External"/><Relationship Id="rId4" Type="http://schemas.openxmlformats.org/officeDocument/2006/relationships/settings" Target="settings.xml"/><Relationship Id="rId9" Type="http://schemas.openxmlformats.org/officeDocument/2006/relationships/hyperlink" Target="https://dle.rae.es/t%C3%A9cni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2464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2020-08-08T21:17:00Z</dcterms:created>
  <dcterms:modified xsi:type="dcterms:W3CDTF">2020-08-08T21:17:00Z</dcterms:modified>
</cp:coreProperties>
</file>