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F5FD3" w14:textId="14778CEB" w:rsidR="00EB76AB" w:rsidRPr="00EB76AB" w:rsidRDefault="00EB76AB" w:rsidP="00EB76AB">
      <w:pPr>
        <w:keepNext/>
        <w:framePr w:dropCap="drop" w:lines="3" w:wrap="around" w:vAnchor="text" w:hAnchor="text"/>
        <w:spacing w:after="0" w:line="926" w:lineRule="exact"/>
        <w:textAlignment w:val="baseline"/>
        <w:rPr>
          <w:position w:val="-8"/>
          <w:sz w:val="120"/>
        </w:rPr>
      </w:pPr>
      <w:r w:rsidRPr="00EB76AB">
        <w:rPr>
          <w:position w:val="-8"/>
          <w:sz w:val="120"/>
        </w:rPr>
        <w:t>C</w:t>
      </w:r>
    </w:p>
    <w:p w14:paraId="19D5E196" w14:textId="4FEAA3AB" w:rsidR="00476F22" w:rsidRDefault="00EB76AB" w:rsidP="00294498">
      <w:r>
        <w:t xml:space="preserve">omo las normas colombianas tienen que tener una motivación, los decretos expedidos en desarrollo de la </w:t>
      </w:r>
      <w:hyperlink r:id="rId8" w:history="1">
        <w:r w:rsidRPr="00EB76AB">
          <w:rPr>
            <w:rStyle w:val="Hipervnculo"/>
          </w:rPr>
          <w:t>Ley 1314 de 2009</w:t>
        </w:r>
      </w:hyperlink>
      <w:r>
        <w:t xml:space="preserve"> dedican varios considerandos a describir el proceso seguido por el Consejo Técnico de la Contaduría Pública para llegar a sus recomendaciones. Ocupados en ello no se pronuncian sobre los aspectos técnicos. Pierden de vista los objetivos de la intervención económica ordenada por dicha ley.</w:t>
      </w:r>
    </w:p>
    <w:p w14:paraId="7795BDC5" w14:textId="1A1E5871" w:rsidR="00EB76AB" w:rsidRDefault="00EB76AB" w:rsidP="00294498">
      <w:r>
        <w:t>En Estados Unidos de América, los estándares aprobados por el PCAOB necesitan de una autorización por parte de la SEC. En este diciembre entrará en vigor la norma que trata del uso de expertos.</w:t>
      </w:r>
    </w:p>
    <w:p w14:paraId="1933950F" w14:textId="0FFA19A5" w:rsidR="000C0767" w:rsidRDefault="000C0767" w:rsidP="00294498">
      <w:r>
        <w:t xml:space="preserve">Antiguamente los expertos se tratan de la misma forma, fueran contratados por el cliente o por el auditor. En las nuevas reglas </w:t>
      </w:r>
      <w:r w:rsidR="00DF2B08">
        <w:t>se crean varias diferencias</w:t>
      </w:r>
      <w:r>
        <w:t>. Los primeros son fuente de evidencia suministrada por el cliente. Los segundos realizan trabajos propios de la auditoría.</w:t>
      </w:r>
    </w:p>
    <w:p w14:paraId="6DEC62C8" w14:textId="77777777" w:rsidR="00DF2B08" w:rsidRPr="00DF2B08" w:rsidRDefault="000C0767" w:rsidP="00DF2B08">
      <w:r w:rsidRPr="000C0767">
        <w:t xml:space="preserve">La norma </w:t>
      </w:r>
      <w:hyperlink r:id="rId9" w:history="1">
        <w:r w:rsidRPr="000C0767">
          <w:rPr>
            <w:rStyle w:val="Hipervnculo"/>
            <w:i/>
            <w:iCs/>
          </w:rPr>
          <w:t xml:space="preserve">AS 1105: Audit </w:t>
        </w:r>
        <w:proofErr w:type="spellStart"/>
        <w:r w:rsidRPr="000C0767">
          <w:rPr>
            <w:rStyle w:val="Hipervnculo"/>
            <w:i/>
            <w:iCs/>
          </w:rPr>
          <w:t>Evidence</w:t>
        </w:r>
        <w:proofErr w:type="spellEnd"/>
      </w:hyperlink>
      <w:r w:rsidRPr="000C0767">
        <w:t xml:space="preserve"> tiene</w:t>
      </w:r>
      <w:r>
        <w:t xml:space="preserve"> d</w:t>
      </w:r>
      <w:r w:rsidR="00DF2B08">
        <w:t>o</w:t>
      </w:r>
      <w:r>
        <w:t xml:space="preserve">s apéndices, el primero de los cuales se llama: </w:t>
      </w:r>
      <w:hyperlink r:id="rId10" w:anchor="appendixa" w:history="1">
        <w:proofErr w:type="spellStart"/>
        <w:r w:rsidR="00DF2B08" w:rsidRPr="00DF2B08">
          <w:rPr>
            <w:rStyle w:val="Hipervnculo"/>
          </w:rPr>
          <w:t>Appendix</w:t>
        </w:r>
        <w:proofErr w:type="spellEnd"/>
        <w:r w:rsidR="00DF2B08" w:rsidRPr="00DF2B08">
          <w:rPr>
            <w:rStyle w:val="Hipervnculo"/>
          </w:rPr>
          <w:t xml:space="preserve"> A - </w:t>
        </w:r>
        <w:proofErr w:type="spellStart"/>
        <w:r w:rsidR="00DF2B08" w:rsidRPr="00DF2B08">
          <w:rPr>
            <w:rStyle w:val="Hipervnculo"/>
          </w:rPr>
          <w:t>Using</w:t>
        </w:r>
        <w:proofErr w:type="spellEnd"/>
        <w:r w:rsidR="00DF2B08" w:rsidRPr="00DF2B08">
          <w:rPr>
            <w:rStyle w:val="Hipervnculo"/>
          </w:rPr>
          <w:t xml:space="preserve"> </w:t>
        </w:r>
        <w:proofErr w:type="spellStart"/>
        <w:r w:rsidR="00DF2B08" w:rsidRPr="00DF2B08">
          <w:rPr>
            <w:rStyle w:val="Hipervnculo"/>
          </w:rPr>
          <w:t>the</w:t>
        </w:r>
        <w:proofErr w:type="spellEnd"/>
        <w:r w:rsidR="00DF2B08" w:rsidRPr="00DF2B08">
          <w:rPr>
            <w:rStyle w:val="Hipervnculo"/>
          </w:rPr>
          <w:t xml:space="preserve"> </w:t>
        </w:r>
        <w:proofErr w:type="spellStart"/>
        <w:r w:rsidR="00DF2B08" w:rsidRPr="00DF2B08">
          <w:rPr>
            <w:rStyle w:val="Hipervnculo"/>
          </w:rPr>
          <w:t>Work</w:t>
        </w:r>
        <w:proofErr w:type="spellEnd"/>
        <w:r w:rsidR="00DF2B08" w:rsidRPr="00DF2B08">
          <w:rPr>
            <w:rStyle w:val="Hipervnculo"/>
          </w:rPr>
          <w:t xml:space="preserve"> </w:t>
        </w:r>
        <w:proofErr w:type="spellStart"/>
        <w:r w:rsidR="00DF2B08" w:rsidRPr="00DF2B08">
          <w:rPr>
            <w:rStyle w:val="Hipervnculo"/>
          </w:rPr>
          <w:t>of</w:t>
        </w:r>
        <w:proofErr w:type="spellEnd"/>
        <w:r w:rsidR="00DF2B08" w:rsidRPr="00DF2B08">
          <w:rPr>
            <w:rStyle w:val="Hipervnculo"/>
          </w:rPr>
          <w:t xml:space="preserve"> a </w:t>
        </w:r>
        <w:proofErr w:type="spellStart"/>
        <w:r w:rsidR="00DF2B08" w:rsidRPr="00DF2B08">
          <w:rPr>
            <w:rStyle w:val="Hipervnculo"/>
          </w:rPr>
          <w:t>Company's</w:t>
        </w:r>
        <w:proofErr w:type="spellEnd"/>
        <w:r w:rsidR="00DF2B08" w:rsidRPr="00DF2B08">
          <w:rPr>
            <w:rStyle w:val="Hipervnculo"/>
          </w:rPr>
          <w:t xml:space="preserve"> </w:t>
        </w:r>
        <w:proofErr w:type="spellStart"/>
        <w:r w:rsidR="00DF2B08" w:rsidRPr="00DF2B08">
          <w:rPr>
            <w:rStyle w:val="Hipervnculo"/>
          </w:rPr>
          <w:t>Specialist</w:t>
        </w:r>
        <w:proofErr w:type="spellEnd"/>
        <w:r w:rsidR="00DF2B08" w:rsidRPr="00DF2B08">
          <w:rPr>
            <w:rStyle w:val="Hipervnculo"/>
          </w:rPr>
          <w:t xml:space="preserve"> as Audit </w:t>
        </w:r>
        <w:proofErr w:type="spellStart"/>
        <w:r w:rsidR="00DF2B08" w:rsidRPr="00DF2B08">
          <w:rPr>
            <w:rStyle w:val="Hipervnculo"/>
          </w:rPr>
          <w:t>Evidence</w:t>
        </w:r>
        <w:proofErr w:type="spellEnd"/>
      </w:hyperlink>
    </w:p>
    <w:p w14:paraId="33BC3576" w14:textId="514C3FA5" w:rsidR="000C0767" w:rsidRDefault="00DF2B08" w:rsidP="00DF2B08">
      <w:pPr>
        <w:rPr>
          <w:lang w:val="en-US"/>
        </w:rPr>
      </w:pPr>
      <w:proofErr w:type="spellStart"/>
      <w:r w:rsidRPr="00DF2B08">
        <w:rPr>
          <w:lang w:val="en-US"/>
        </w:rPr>
        <w:t>En</w:t>
      </w:r>
      <w:proofErr w:type="spellEnd"/>
      <w:r w:rsidRPr="00DF2B08">
        <w:rPr>
          <w:lang w:val="en-US"/>
        </w:rPr>
        <w:t xml:space="preserve"> primer </w:t>
      </w:r>
      <w:proofErr w:type="spellStart"/>
      <w:r w:rsidRPr="00DF2B08">
        <w:rPr>
          <w:lang w:val="en-US"/>
        </w:rPr>
        <w:t>lugar</w:t>
      </w:r>
      <w:proofErr w:type="spellEnd"/>
      <w:r w:rsidRPr="00DF2B08">
        <w:rPr>
          <w:lang w:val="en-US"/>
        </w:rPr>
        <w:t xml:space="preserve"> se </w:t>
      </w:r>
      <w:proofErr w:type="spellStart"/>
      <w:r w:rsidRPr="00DF2B08">
        <w:rPr>
          <w:lang w:val="en-US"/>
        </w:rPr>
        <w:t>advierte</w:t>
      </w:r>
      <w:proofErr w:type="spellEnd"/>
      <w:r w:rsidRPr="00DF2B08">
        <w:rPr>
          <w:lang w:val="en-US"/>
        </w:rPr>
        <w:t xml:space="preserve"> que: </w:t>
      </w:r>
      <w:r>
        <w:rPr>
          <w:lang w:val="en-US"/>
        </w:rPr>
        <w:t>“</w:t>
      </w:r>
      <w:r w:rsidRPr="00DF2B08">
        <w:rPr>
          <w:i/>
          <w:iCs/>
          <w:lang w:val="en-US"/>
        </w:rPr>
        <w:t>For purposes of this standard, a specialist is a person (or firm) possessing special skill or knowledge in a particular field other than accounting or auditing. This appendix does not apply when the auditor uses the work of a person with specialized skill or knowledge in income taxes</w:t>
      </w:r>
      <w:r w:rsidRPr="00DF2B08">
        <w:rPr>
          <w:i/>
          <w:iCs/>
          <w:vertAlign w:val="superscript"/>
          <w:lang w:val="en-US"/>
        </w:rPr>
        <w:t>1</w:t>
      </w:r>
      <w:r w:rsidRPr="00DF2B08">
        <w:rPr>
          <w:i/>
          <w:iCs/>
          <w:lang w:val="en-US"/>
        </w:rPr>
        <w:t xml:space="preserve"> or information technology as audit evidence.</w:t>
      </w:r>
      <w:r w:rsidRPr="00DF2B08">
        <w:rPr>
          <w:i/>
          <w:iCs/>
          <w:vertAlign w:val="superscript"/>
          <w:lang w:val="en-US"/>
        </w:rPr>
        <w:t>2</w:t>
      </w:r>
      <w:r>
        <w:rPr>
          <w:lang w:val="en-US"/>
        </w:rPr>
        <w:t>”</w:t>
      </w:r>
    </w:p>
    <w:p w14:paraId="75326DA3" w14:textId="45EC4CAB" w:rsidR="00DF2B08" w:rsidRDefault="00DF2B08" w:rsidP="00DF2B08">
      <w:pPr>
        <w:rPr>
          <w:lang w:val="en-US"/>
        </w:rPr>
      </w:pPr>
      <w:proofErr w:type="spellStart"/>
      <w:r w:rsidRPr="00DF2B08">
        <w:rPr>
          <w:lang w:val="en-US"/>
        </w:rPr>
        <w:t>En</w:t>
      </w:r>
      <w:proofErr w:type="spellEnd"/>
      <w:r w:rsidRPr="00DF2B08">
        <w:rPr>
          <w:lang w:val="en-US"/>
        </w:rPr>
        <w:t xml:space="preserve"> </w:t>
      </w:r>
      <w:proofErr w:type="spellStart"/>
      <w:r>
        <w:rPr>
          <w:lang w:val="en-US"/>
        </w:rPr>
        <w:t>s</w:t>
      </w:r>
      <w:r w:rsidRPr="00DF2B08">
        <w:rPr>
          <w:lang w:val="en-US"/>
        </w:rPr>
        <w:t>egundo</w:t>
      </w:r>
      <w:proofErr w:type="spellEnd"/>
      <w:r w:rsidRPr="00DF2B08">
        <w:rPr>
          <w:lang w:val="en-US"/>
        </w:rPr>
        <w:t xml:space="preserve"> </w:t>
      </w:r>
      <w:proofErr w:type="spellStart"/>
      <w:r w:rsidRPr="00DF2B08">
        <w:rPr>
          <w:lang w:val="en-US"/>
        </w:rPr>
        <w:t>lugar</w:t>
      </w:r>
      <w:proofErr w:type="spellEnd"/>
      <w:r w:rsidRPr="00DF2B08">
        <w:rPr>
          <w:lang w:val="en-US"/>
        </w:rPr>
        <w:t xml:space="preserve"> se </w:t>
      </w:r>
      <w:proofErr w:type="spellStart"/>
      <w:r w:rsidRPr="00DF2B08">
        <w:rPr>
          <w:lang w:val="en-US"/>
        </w:rPr>
        <w:t>precisa</w:t>
      </w:r>
      <w:proofErr w:type="spellEnd"/>
      <w:r w:rsidRPr="00DF2B08">
        <w:rPr>
          <w:lang w:val="en-US"/>
        </w:rPr>
        <w:t>: “</w:t>
      </w:r>
      <w:r w:rsidRPr="00DF2B08">
        <w:rPr>
          <w:i/>
          <w:iCs/>
          <w:lang w:val="en-US"/>
        </w:rPr>
        <w:t>This appendix does not apply to information provided by a company's attorney concerning litigation, claims, or assessments that is used by the auditor pursuant to AS 2505,</w:t>
      </w:r>
      <w:r>
        <w:rPr>
          <w:i/>
          <w:iCs/>
          <w:lang w:val="en-US"/>
        </w:rPr>
        <w:t xml:space="preserve"> </w:t>
      </w:r>
      <w:r w:rsidRPr="00DF2B08">
        <w:rPr>
          <w:i/>
          <w:iCs/>
          <w:lang w:val="en-US"/>
        </w:rPr>
        <w:t>Inquiry of a Client's Lawyer Concerning Litigation, Claims, and Assessments. This appendix applies when an auditor uses the work of a company's attorney as audit evidence in other matters relating to legal expertise, such as when a legal interpretation of a contractual provision or a legal opinion regarding isolation of transferred financial assets is necessary to determine appropriate accounting or disclosure under the applicable financial reporting framework.</w:t>
      </w:r>
      <w:r>
        <w:rPr>
          <w:lang w:val="en-US"/>
        </w:rPr>
        <w:t>”</w:t>
      </w:r>
    </w:p>
    <w:p w14:paraId="7E5CA3DB" w14:textId="6844F214" w:rsidR="00750A42" w:rsidRDefault="001C29E9" w:rsidP="00DF2B08">
      <w:proofErr w:type="spellStart"/>
      <w:r w:rsidRPr="001C29E9">
        <w:rPr>
          <w:lang w:val="en-US"/>
        </w:rPr>
        <w:t>Ya</w:t>
      </w:r>
      <w:proofErr w:type="spellEnd"/>
      <w:r w:rsidRPr="001C29E9">
        <w:rPr>
          <w:lang w:val="en-US"/>
        </w:rPr>
        <w:t xml:space="preserve"> </w:t>
      </w:r>
      <w:proofErr w:type="spellStart"/>
      <w:r w:rsidRPr="001C29E9">
        <w:rPr>
          <w:lang w:val="en-US"/>
        </w:rPr>
        <w:t>en</w:t>
      </w:r>
      <w:proofErr w:type="spellEnd"/>
      <w:r w:rsidRPr="001C29E9">
        <w:rPr>
          <w:lang w:val="en-US"/>
        </w:rPr>
        <w:t xml:space="preserve"> </w:t>
      </w:r>
      <w:proofErr w:type="spellStart"/>
      <w:r w:rsidRPr="001C29E9">
        <w:rPr>
          <w:lang w:val="en-US"/>
        </w:rPr>
        <w:t>desarrollo</w:t>
      </w:r>
      <w:proofErr w:type="spellEnd"/>
      <w:r w:rsidRPr="001C29E9">
        <w:rPr>
          <w:lang w:val="en-US"/>
        </w:rPr>
        <w:t xml:space="preserve"> del </w:t>
      </w:r>
      <w:proofErr w:type="spellStart"/>
      <w:r w:rsidRPr="001C29E9">
        <w:rPr>
          <w:lang w:val="en-US"/>
        </w:rPr>
        <w:t>apéndice</w:t>
      </w:r>
      <w:proofErr w:type="spellEnd"/>
      <w:r w:rsidRPr="001C29E9">
        <w:rPr>
          <w:lang w:val="en-US"/>
        </w:rPr>
        <w:t xml:space="preserve"> se </w:t>
      </w:r>
      <w:proofErr w:type="spellStart"/>
      <w:r w:rsidRPr="001C29E9">
        <w:rPr>
          <w:lang w:val="en-US"/>
        </w:rPr>
        <w:t>recuerda</w:t>
      </w:r>
      <w:proofErr w:type="spellEnd"/>
      <w:r w:rsidRPr="001C29E9">
        <w:rPr>
          <w:lang w:val="en-US"/>
        </w:rPr>
        <w:t>: “</w:t>
      </w:r>
      <w:r w:rsidRPr="00750A42">
        <w:rPr>
          <w:i/>
          <w:iCs/>
          <w:lang w:val="en-US"/>
        </w:rPr>
        <w:t>The requirements in AS 2110,</w:t>
      </w:r>
      <w:r w:rsidR="00750A42" w:rsidRPr="00750A42">
        <w:rPr>
          <w:i/>
          <w:iCs/>
          <w:lang w:val="en-US"/>
        </w:rPr>
        <w:t xml:space="preserve"> </w:t>
      </w:r>
      <w:r w:rsidRPr="00750A42">
        <w:rPr>
          <w:i/>
          <w:iCs/>
          <w:lang w:val="en-US"/>
        </w:rPr>
        <w:t>Identifying and Assessing Risks of Material Misstatement, for obtaining an understanding of the company's information system relevant to financial reporting include obtaining an understanding of the work and report(s), or equivalent communication, of the company's specialist(s) and related company processes and controls.</w:t>
      </w:r>
      <w:bookmarkStart w:id="0" w:name="_ftnrefa3"/>
      <w:r w:rsidRPr="00750A42">
        <w:rPr>
          <w:i/>
          <w:iCs/>
        </w:rPr>
        <w:fldChar w:fldCharType="begin"/>
      </w:r>
      <w:r w:rsidRPr="00750A42">
        <w:rPr>
          <w:i/>
          <w:iCs/>
          <w:lang w:val="en-US"/>
        </w:rPr>
        <w:instrText xml:space="preserve"> HYPERLINK "https://pcaobus.org/Standards/Auditing/Pages/AS1105_amendments.aspx" \l "_ftna3" </w:instrText>
      </w:r>
      <w:r w:rsidRPr="00750A42">
        <w:rPr>
          <w:i/>
          <w:iCs/>
        </w:rPr>
        <w:fldChar w:fldCharType="separate"/>
      </w:r>
      <w:r w:rsidRPr="00750A42">
        <w:rPr>
          <w:rStyle w:val="Hipervnculo"/>
          <w:b/>
          <w:bCs/>
          <w:i/>
          <w:iCs/>
          <w:vertAlign w:val="superscript"/>
        </w:rPr>
        <w:t>3</w:t>
      </w:r>
      <w:r w:rsidRPr="00750A42">
        <w:rPr>
          <w:i/>
          <w:iCs/>
        </w:rPr>
        <w:fldChar w:fldCharType="end"/>
      </w:r>
      <w:bookmarkEnd w:id="0"/>
      <w:r w:rsidR="00750A42">
        <w:t xml:space="preserve">”. De manera que en todo caso el auditor debe conocer el trabajo de los especialistas o expertos vinculados al cliente o contratados por este como base para adoptar decisiones que tienen que ver con la información objeto de auditoría. Una primera parte se ocupa de: </w:t>
      </w:r>
      <w:r w:rsidR="00750A42" w:rsidRPr="00750A42">
        <w:rPr>
          <w:i/>
          <w:iCs/>
        </w:rPr>
        <w:t>Evaluar el conocimiento, la habilidad y la capacidad del especialista de la empresa y la relación del especialista con la empresa</w:t>
      </w:r>
      <w:r w:rsidR="00750A42">
        <w:t>. Se supone que los auditores saben hacerlo.</w:t>
      </w:r>
    </w:p>
    <w:p w14:paraId="2060FD2E" w14:textId="1C2C22AC" w:rsidR="00750A42" w:rsidRPr="001C29E9" w:rsidRDefault="00750A42" w:rsidP="00750A42">
      <w:pPr>
        <w:jc w:val="right"/>
      </w:pPr>
      <w:r w:rsidRPr="00A145AF">
        <w:rPr>
          <w:i/>
          <w:iCs/>
        </w:rPr>
        <w:t>Hernando Bermúdez Gómez</w:t>
      </w:r>
    </w:p>
    <w:sectPr w:rsidR="00750A42" w:rsidRPr="001C29E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2C7EC" w14:textId="77777777" w:rsidR="0029324B" w:rsidRDefault="0029324B" w:rsidP="00EE7812">
      <w:pPr>
        <w:spacing w:after="0" w:line="240" w:lineRule="auto"/>
      </w:pPr>
      <w:r>
        <w:separator/>
      </w:r>
    </w:p>
  </w:endnote>
  <w:endnote w:type="continuationSeparator" w:id="0">
    <w:p w14:paraId="6FA8EA8D" w14:textId="77777777" w:rsidR="0029324B" w:rsidRDefault="002932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36673" w14:textId="77777777" w:rsidR="0029324B" w:rsidRDefault="0029324B" w:rsidP="00EE7812">
      <w:pPr>
        <w:spacing w:after="0" w:line="240" w:lineRule="auto"/>
      </w:pPr>
      <w:r>
        <w:separator/>
      </w:r>
    </w:p>
  </w:footnote>
  <w:footnote w:type="continuationSeparator" w:id="0">
    <w:p w14:paraId="742FAE40" w14:textId="77777777" w:rsidR="0029324B" w:rsidRDefault="002932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E991030" w:rsidR="0000261B" w:rsidRDefault="0000261B" w:rsidP="00613BC8">
    <w:pPr>
      <w:pStyle w:val="Encabezado"/>
      <w:tabs>
        <w:tab w:val="left" w:pos="2580"/>
        <w:tab w:val="left" w:pos="2985"/>
      </w:tabs>
      <w:spacing w:line="276" w:lineRule="auto"/>
      <w:jc w:val="right"/>
    </w:pPr>
    <w:r>
      <w:t>Número 53</w:t>
    </w:r>
    <w:r w:rsidR="00294498">
      <w:t>80</w:t>
    </w:r>
    <w:r>
      <w:t xml:space="preserve">, </w:t>
    </w:r>
    <w:r w:rsidR="00916585">
      <w:t>1</w:t>
    </w:r>
    <w:r w:rsidR="001A7E73">
      <w:t>9</w:t>
    </w:r>
    <w:r>
      <w:t xml:space="preserve"> de </w:t>
    </w:r>
    <w:r w:rsidR="00673645">
      <w:t>octubre</w:t>
    </w:r>
    <w:r>
      <w:t xml:space="preserve"> de 2020</w:t>
    </w:r>
  </w:p>
  <w:p w14:paraId="29566F03" w14:textId="77777777" w:rsidR="0000261B" w:rsidRDefault="002932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CCA"/>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4B"/>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caobus.org/Standards/Auditing/Pages/AS1105_amendments.aspx" TargetMode="External"/><Relationship Id="rId4" Type="http://schemas.openxmlformats.org/officeDocument/2006/relationships/settings" Target="settings.xml"/><Relationship Id="rId9" Type="http://schemas.openxmlformats.org/officeDocument/2006/relationships/hyperlink" Target="https://pcaobus.org/Standards/Auditing/Pages/AS1105_amendment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2020-10-17T21:06:00Z</dcterms:created>
  <dcterms:modified xsi:type="dcterms:W3CDTF">2020-10-17T21:06:00Z</dcterms:modified>
</cp:coreProperties>
</file>