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191A0" w14:textId="612D98CF" w:rsidR="00406767" w:rsidRPr="00406767" w:rsidRDefault="00406767" w:rsidP="0040676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406767">
        <w:rPr>
          <w:position w:val="-8"/>
          <w:sz w:val="122"/>
        </w:rPr>
        <w:t>A</w:t>
      </w:r>
    </w:p>
    <w:p w14:paraId="615C88BA" w14:textId="6AD75039" w:rsidR="004F7571" w:rsidRPr="00406767" w:rsidRDefault="004F7571" w:rsidP="00406767">
      <w:pPr>
        <w:rPr>
          <w:lang w:val="en-US"/>
        </w:rPr>
      </w:pPr>
      <w:r>
        <w:t xml:space="preserve">ntes de continuar reflexionando sobre el </w:t>
      </w:r>
      <w:r w:rsidR="008273BE">
        <w:t>proyecto de ley “</w:t>
      </w:r>
      <w:hyperlink r:id="rId8" w:history="1">
        <w:r w:rsidR="008273BE" w:rsidRPr="008273BE">
          <w:rPr>
            <w:rStyle w:val="Hipervnculo"/>
          </w:rPr>
          <w:t>por medio del cual se adoptan medidas en materia de transparencia, prevención y lucha contra la corrupción y otras disposiciones</w:t>
        </w:r>
      </w:hyperlink>
      <w:r w:rsidR="008273BE">
        <w:t>”</w:t>
      </w:r>
      <w:r>
        <w:t xml:space="preserve">, conviene insistir en que lo que el país debería hacer es acoger la taxonomía de </w:t>
      </w:r>
      <w:r w:rsidR="00965F48">
        <w:t>la Fundación IFRS hoy autorizada por IASB.</w:t>
      </w:r>
      <w:r w:rsidR="00406767">
        <w:t xml:space="preserve"> Además de avanzar hacia los indispensables depósitos electrónicos, se lograría una comparabilidad mayor, que es muy necesaria. </w:t>
      </w:r>
      <w:proofErr w:type="spellStart"/>
      <w:r w:rsidR="00406767" w:rsidRPr="00406767">
        <w:rPr>
          <w:lang w:val="en-US"/>
        </w:rPr>
        <w:t>Según</w:t>
      </w:r>
      <w:proofErr w:type="spellEnd"/>
      <w:r w:rsidR="00406767" w:rsidRPr="00406767">
        <w:rPr>
          <w:lang w:val="en-US"/>
        </w:rPr>
        <w:t xml:space="preserve"> la </w:t>
      </w:r>
      <w:proofErr w:type="spellStart"/>
      <w:r w:rsidR="00406767" w:rsidRPr="00406767">
        <w:rPr>
          <w:lang w:val="en-US"/>
        </w:rPr>
        <w:t>página</w:t>
      </w:r>
      <w:proofErr w:type="spellEnd"/>
      <w:r w:rsidR="00406767" w:rsidRPr="00406767">
        <w:rPr>
          <w:lang w:val="en-US"/>
        </w:rPr>
        <w:t xml:space="preserve"> </w:t>
      </w:r>
      <w:proofErr w:type="spellStart"/>
      <w:r w:rsidR="00406767" w:rsidRPr="00406767">
        <w:rPr>
          <w:lang w:val="en-US"/>
        </w:rPr>
        <w:t>oficial</w:t>
      </w:r>
      <w:proofErr w:type="spellEnd"/>
      <w:r w:rsidR="00406767" w:rsidRPr="00406767">
        <w:rPr>
          <w:lang w:val="en-US"/>
        </w:rPr>
        <w:t xml:space="preserve"> “</w:t>
      </w:r>
      <w:proofErr w:type="spellStart"/>
      <w:r w:rsidR="00406767" w:rsidRPr="00406767">
        <w:rPr>
          <w:i/>
          <w:iCs/>
          <w:lang w:val="en-US"/>
        </w:rPr>
        <w:t>eIFRS</w:t>
      </w:r>
      <w:proofErr w:type="spellEnd"/>
      <w:r w:rsidR="00406767" w:rsidRPr="00406767">
        <w:rPr>
          <w:i/>
          <w:iCs/>
          <w:lang w:val="en-US"/>
        </w:rPr>
        <w:t xml:space="preserve"> subscribers can access </w:t>
      </w:r>
      <w:proofErr w:type="spellStart"/>
      <w:r w:rsidR="00406767" w:rsidRPr="00406767">
        <w:rPr>
          <w:i/>
          <w:iCs/>
          <w:lang w:val="en-US"/>
        </w:rPr>
        <w:t>xIFRS</w:t>
      </w:r>
      <w:proofErr w:type="spellEnd"/>
      <w:r w:rsidR="00406767" w:rsidRPr="00406767">
        <w:rPr>
          <w:i/>
          <w:iCs/>
          <w:lang w:val="en-US"/>
        </w:rPr>
        <w:t xml:space="preserve">, a tool developed by the IFRS Foundation to support viewing and understanding of the IFRS Taxonomy. </w:t>
      </w:r>
      <w:proofErr w:type="spellStart"/>
      <w:r w:rsidR="00406767" w:rsidRPr="00406767">
        <w:rPr>
          <w:i/>
          <w:iCs/>
          <w:lang w:val="en-US"/>
        </w:rPr>
        <w:t>xIFRS</w:t>
      </w:r>
      <w:proofErr w:type="spellEnd"/>
      <w:r w:rsidR="00406767" w:rsidRPr="00406767">
        <w:rPr>
          <w:i/>
          <w:iCs/>
          <w:lang w:val="en-US"/>
        </w:rPr>
        <w:t xml:space="preserve"> provides a view of the electronic IFRSs with embedded </w:t>
      </w:r>
      <w:proofErr w:type="gramStart"/>
      <w:r w:rsidR="00406767" w:rsidRPr="00406767">
        <w:rPr>
          <w:i/>
          <w:iCs/>
          <w:lang w:val="en-US"/>
        </w:rPr>
        <w:t>XBRL, and</w:t>
      </w:r>
      <w:proofErr w:type="gramEnd"/>
      <w:r w:rsidR="00406767" w:rsidRPr="00406767">
        <w:rPr>
          <w:i/>
          <w:iCs/>
          <w:lang w:val="en-US"/>
        </w:rPr>
        <w:t xml:space="preserve"> is available for the IFRSs and the IFRS for SMEs as well as all published Taxonomy updates.</w:t>
      </w:r>
      <w:r w:rsidR="00406767">
        <w:rPr>
          <w:lang w:val="en-US"/>
        </w:rPr>
        <w:t>”</w:t>
      </w:r>
    </w:p>
    <w:p w14:paraId="10A3C4C5" w14:textId="2C1577FA" w:rsidR="00563319" w:rsidRDefault="00406767" w:rsidP="00563319">
      <w:r w:rsidRPr="00C75431">
        <w:t xml:space="preserve">En numeral 7 </w:t>
      </w:r>
      <w:r w:rsidR="00C75431" w:rsidRPr="00C75431">
        <w:t>q</w:t>
      </w:r>
      <w:r w:rsidR="00C75431">
        <w:t>ue se pretende adicionar al artículo 57 diría: “</w:t>
      </w:r>
      <w:r w:rsidR="00C75431" w:rsidRPr="00C75431">
        <w:rPr>
          <w:i/>
          <w:iCs/>
        </w:rPr>
        <w:t>No asentar en los libros contables las operaciones efectuadas</w:t>
      </w:r>
      <w:r w:rsidR="00C75431" w:rsidRPr="00C75431">
        <w:t>;</w:t>
      </w:r>
      <w:r w:rsidR="00C75431">
        <w:t>” Esto no añade nada pues clarísimo que la contabilidad debe ser completa y no lo sería se omitieran transacciones o eventos imputables al ente. Por cierto, que las operaciones no comprenden todo lo que debe registrarse.</w:t>
      </w:r>
    </w:p>
    <w:p w14:paraId="3233A4DC" w14:textId="697D2E92" w:rsidR="00C75431" w:rsidRDefault="00C75431" w:rsidP="00C75431">
      <w:r>
        <w:t>El numeral 8 pretende adicionar el siguiente texto: “</w:t>
      </w:r>
      <w:r w:rsidRPr="00C75431">
        <w:rPr>
          <w:i/>
          <w:iCs/>
        </w:rPr>
        <w:t>Llevar doble contabilidad, es decir, llevar dos o más libros iguales en los que registre en forma diferente las mismas operaciones, o cuando tenga distintos comprobantes sobre los mismos actos;</w:t>
      </w:r>
      <w:r>
        <w:t xml:space="preserve">”. </w:t>
      </w:r>
    </w:p>
    <w:p w14:paraId="027081AB" w14:textId="5E4D266C" w:rsidR="00C75431" w:rsidRDefault="00C75431" w:rsidP="00C75431">
      <w:r>
        <w:t xml:space="preserve">Como se recordará los artículo 68 a 74 del </w:t>
      </w:r>
      <w:hyperlink r:id="rId9" w:history="1">
        <w:r w:rsidRPr="001D02CE">
          <w:rPr>
            <w:rStyle w:val="Hipervnculo"/>
          </w:rPr>
          <w:t>Código de Comercio</w:t>
        </w:r>
      </w:hyperlink>
      <w:r>
        <w:t xml:space="preserve"> fueron derogados por el </w:t>
      </w:r>
      <w:hyperlink r:id="rId10" w:anchor="ver_1684201" w:history="1">
        <w:r w:rsidRPr="001D02CE">
          <w:rPr>
            <w:rStyle w:val="Hipervnculo"/>
          </w:rPr>
          <w:t>Código General del Proceso</w:t>
        </w:r>
      </w:hyperlink>
      <w:r w:rsidR="001D02CE">
        <w:t xml:space="preserve">, en cuyo artículo </w:t>
      </w:r>
      <w:r w:rsidR="001D02CE">
        <w:t>264 se lee: “</w:t>
      </w:r>
      <w:r w:rsidR="001D02CE" w:rsidRPr="001D02CE">
        <w:rPr>
          <w:i/>
          <w:iCs/>
        </w:rPr>
        <w:t>Si un comerciante lleva doble contabilidad o incurre en cualquier otro fraude de tal naturaleza, sus libros y papeles solo tendrán valor en su contra. Habrá doble contabilidad cuando un comerciante lleva dos o más libros iguales en los que registre en forma diferente las mismas operaciones, o cuando tenga distintos comprobantes sobre los mismos actos</w:t>
      </w:r>
      <w:r w:rsidR="001D02CE" w:rsidRPr="001D02CE">
        <w:t>.</w:t>
      </w:r>
      <w:r w:rsidR="001D02CE">
        <w:t xml:space="preserve">” Como se ve la propuesta es una transcripción de la última parte de esta disposición. </w:t>
      </w:r>
    </w:p>
    <w:p w14:paraId="50C7D6FF" w14:textId="55837157" w:rsidR="001D02CE" w:rsidRDefault="001D02CE" w:rsidP="001D02CE">
      <w:r>
        <w:t>En el numeral 9 se sugiere: “</w:t>
      </w:r>
      <w:r w:rsidRPr="001D02CE">
        <w:rPr>
          <w:i/>
          <w:iCs/>
        </w:rPr>
        <w:t>Registrar en los libros contables operaciones de manera inadecuada, gastos inexistentes o pasivos sin la identificación correcta;</w:t>
      </w:r>
      <w:r>
        <w:t>”. Este no añade nada. Todas estas conductas y muchas otras son contrarias a las aserciones, afirmaciones, manifestaciones u objetivos de la información financiera</w:t>
      </w:r>
      <w:r w:rsidR="00D2303D">
        <w:t xml:space="preserve"> hoy previstos en nuestras normas. De tales manifestaciones son responsables los representantes legales y los contadores que hayan dirigido la preparación de los estados financieros, quienes deben pronunciarse expresamente al respecto, como se estableció desde la </w:t>
      </w:r>
      <w:hyperlink r:id="rId11" w:history="1">
        <w:r w:rsidR="00D2303D" w:rsidRPr="00D2303D">
          <w:rPr>
            <w:rStyle w:val="Hipervnculo"/>
          </w:rPr>
          <w:t>Ley 222 de 1995</w:t>
        </w:r>
      </w:hyperlink>
      <w:r w:rsidR="00D2303D">
        <w:t>. Por su parte todo auditor debe asegurar si se han respetado o no.</w:t>
      </w:r>
    </w:p>
    <w:p w14:paraId="2E9FEBE0" w14:textId="45822BBC" w:rsidR="00D2303D" w:rsidRPr="00C75431" w:rsidRDefault="00D2303D" w:rsidP="001D02CE">
      <w:r>
        <w:t>El numeral 10 dice: “</w:t>
      </w:r>
      <w:r w:rsidRPr="00D2303D">
        <w:rPr>
          <w:i/>
          <w:iCs/>
        </w:rPr>
        <w:t>Utilizar documentos falsos que sirvan de soporte a la contabilidad</w:t>
      </w:r>
      <w:r>
        <w:t xml:space="preserve">”. </w:t>
      </w:r>
      <w:r w:rsidR="00B033C5">
        <w:t>E</w:t>
      </w:r>
      <w:r>
        <w:t xml:space="preserve">stos documentos no son soportes admisibles, porque no reflejan la realidad económica. Por lo mismo la norma tampoco es necesaria. </w:t>
      </w:r>
      <w:r w:rsidR="00B033C5">
        <w:t>Reconocemos que, en este mundo de puras formas, generalmente documentos, se engaña a los malos auditores y autoridades.</w:t>
      </w:r>
    </w:p>
    <w:p w14:paraId="2F5F4C62" w14:textId="550CB025" w:rsidR="00C1753C" w:rsidRPr="00563319" w:rsidRDefault="00C1753C" w:rsidP="00C1753C">
      <w:pPr>
        <w:jc w:val="right"/>
      </w:pPr>
      <w:r w:rsidRPr="00A145AF">
        <w:rPr>
          <w:i/>
          <w:iCs/>
        </w:rPr>
        <w:t>Hernando Bermúdez Gómez</w:t>
      </w:r>
    </w:p>
    <w:sectPr w:rsidR="00C1753C" w:rsidRPr="00563319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322EA" w14:textId="77777777" w:rsidR="00310F73" w:rsidRDefault="00310F73" w:rsidP="00EE7812">
      <w:pPr>
        <w:spacing w:after="0" w:line="240" w:lineRule="auto"/>
      </w:pPr>
      <w:r>
        <w:separator/>
      </w:r>
    </w:p>
  </w:endnote>
  <w:endnote w:type="continuationSeparator" w:id="0">
    <w:p w14:paraId="2B924DFB" w14:textId="77777777" w:rsidR="00310F73" w:rsidRDefault="00310F7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BC094" w14:textId="77777777" w:rsidR="00310F73" w:rsidRDefault="00310F73" w:rsidP="00EE7812">
      <w:pPr>
        <w:spacing w:after="0" w:line="240" w:lineRule="auto"/>
      </w:pPr>
      <w:r>
        <w:separator/>
      </w:r>
    </w:p>
  </w:footnote>
  <w:footnote w:type="continuationSeparator" w:id="0">
    <w:p w14:paraId="120F6578" w14:textId="77777777" w:rsidR="00310F73" w:rsidRDefault="00310F7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00261B" w:rsidRDefault="0000261B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00261B" w:rsidRDefault="0000261B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039FE60E" w:rsidR="0000261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E95638">
      <w:t>4</w:t>
    </w:r>
    <w:r w:rsidR="0057780D">
      <w:t>2</w:t>
    </w:r>
    <w:r w:rsidR="004F7571">
      <w:t>2</w:t>
    </w:r>
    <w:r>
      <w:t xml:space="preserve">, </w:t>
    </w:r>
    <w:r w:rsidR="0095321B">
      <w:t>9</w:t>
    </w:r>
    <w:r>
      <w:t xml:space="preserve"> de </w:t>
    </w:r>
    <w:r w:rsidR="00920EB5">
      <w:t>noviembre</w:t>
    </w:r>
    <w:r>
      <w:t xml:space="preserve"> de 2020</w:t>
    </w:r>
  </w:p>
  <w:p w14:paraId="29566F03" w14:textId="77777777" w:rsidR="0000261B" w:rsidRDefault="00310F7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2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2"/>
  </w:num>
  <w:num w:numId="5">
    <w:abstractNumId w:val="16"/>
  </w:num>
  <w:num w:numId="6">
    <w:abstractNumId w:val="31"/>
  </w:num>
  <w:num w:numId="7">
    <w:abstractNumId w:val="10"/>
  </w:num>
  <w:num w:numId="8">
    <w:abstractNumId w:val="29"/>
  </w:num>
  <w:num w:numId="9">
    <w:abstractNumId w:val="32"/>
  </w:num>
  <w:num w:numId="10">
    <w:abstractNumId w:val="3"/>
  </w:num>
  <w:num w:numId="11">
    <w:abstractNumId w:val="5"/>
  </w:num>
  <w:num w:numId="12">
    <w:abstractNumId w:val="15"/>
  </w:num>
  <w:num w:numId="13">
    <w:abstractNumId w:val="18"/>
  </w:num>
  <w:num w:numId="14">
    <w:abstractNumId w:val="28"/>
  </w:num>
  <w:num w:numId="15">
    <w:abstractNumId w:val="8"/>
  </w:num>
  <w:num w:numId="16">
    <w:abstractNumId w:val="6"/>
  </w:num>
  <w:num w:numId="17">
    <w:abstractNumId w:val="13"/>
  </w:num>
  <w:num w:numId="18">
    <w:abstractNumId w:val="27"/>
  </w:num>
  <w:num w:numId="19">
    <w:abstractNumId w:val="22"/>
  </w:num>
  <w:num w:numId="20">
    <w:abstractNumId w:val="7"/>
  </w:num>
  <w:num w:numId="21">
    <w:abstractNumId w:val="23"/>
  </w:num>
  <w:num w:numId="22">
    <w:abstractNumId w:val="24"/>
  </w:num>
  <w:num w:numId="23">
    <w:abstractNumId w:val="25"/>
  </w:num>
  <w:num w:numId="24">
    <w:abstractNumId w:val="30"/>
  </w:num>
  <w:num w:numId="25">
    <w:abstractNumId w:val="19"/>
  </w:num>
  <w:num w:numId="26">
    <w:abstractNumId w:val="11"/>
  </w:num>
  <w:num w:numId="27">
    <w:abstractNumId w:val="4"/>
  </w:num>
  <w:num w:numId="28">
    <w:abstractNumId w:val="20"/>
  </w:num>
  <w:num w:numId="29">
    <w:abstractNumId w:val="1"/>
  </w:num>
  <w:num w:numId="30">
    <w:abstractNumId w:val="21"/>
  </w:num>
  <w:num w:numId="31">
    <w:abstractNumId w:val="26"/>
  </w:num>
  <w:num w:numId="32">
    <w:abstractNumId w:val="9"/>
  </w:num>
  <w:num w:numId="3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BCD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02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9E7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DD7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74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9BF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9E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89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D0A"/>
    <w:rsid w:val="00216D36"/>
    <w:rsid w:val="00216EB4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E8"/>
    <w:rsid w:val="002E19FF"/>
    <w:rsid w:val="002E1A69"/>
    <w:rsid w:val="002E1B48"/>
    <w:rsid w:val="002E1C67"/>
    <w:rsid w:val="002E1D1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3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15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569"/>
    <w:rsid w:val="0037758E"/>
    <w:rsid w:val="003776AC"/>
    <w:rsid w:val="003776DA"/>
    <w:rsid w:val="0037782B"/>
    <w:rsid w:val="0037786B"/>
    <w:rsid w:val="003779A9"/>
    <w:rsid w:val="00377A90"/>
    <w:rsid w:val="00377B21"/>
    <w:rsid w:val="00377B3B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BC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6F5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B2"/>
    <w:rsid w:val="004135CA"/>
    <w:rsid w:val="004136E7"/>
    <w:rsid w:val="004136FE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060"/>
    <w:rsid w:val="00432157"/>
    <w:rsid w:val="00432198"/>
    <w:rsid w:val="00432217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1E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CA"/>
    <w:rsid w:val="0048482A"/>
    <w:rsid w:val="0048483D"/>
    <w:rsid w:val="0048487A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4E"/>
    <w:rsid w:val="004C269F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5E"/>
    <w:rsid w:val="004E580F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337"/>
    <w:rsid w:val="004F041A"/>
    <w:rsid w:val="004F0443"/>
    <w:rsid w:val="004F0453"/>
    <w:rsid w:val="004F04C7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CA"/>
    <w:rsid w:val="005167D2"/>
    <w:rsid w:val="00516899"/>
    <w:rsid w:val="005168C7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E8"/>
    <w:rsid w:val="00545A5E"/>
    <w:rsid w:val="00545AB5"/>
    <w:rsid w:val="00545AE2"/>
    <w:rsid w:val="00545B56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840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A"/>
    <w:rsid w:val="00593AF4"/>
    <w:rsid w:val="00593B0E"/>
    <w:rsid w:val="00593BE2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29F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FF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38B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46E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04E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12F"/>
    <w:rsid w:val="006F72A7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633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E1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C3"/>
    <w:rsid w:val="00727526"/>
    <w:rsid w:val="00727572"/>
    <w:rsid w:val="007275D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AA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2AE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255"/>
    <w:rsid w:val="007D7292"/>
    <w:rsid w:val="007D72AA"/>
    <w:rsid w:val="007D740E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686"/>
    <w:rsid w:val="008026AB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FC"/>
    <w:rsid w:val="00810D25"/>
    <w:rsid w:val="00810DEF"/>
    <w:rsid w:val="00810E14"/>
    <w:rsid w:val="00810E2E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99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BE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E32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A01"/>
    <w:rsid w:val="00857A58"/>
    <w:rsid w:val="00857A72"/>
    <w:rsid w:val="00857B1B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AF"/>
    <w:rsid w:val="008640C3"/>
    <w:rsid w:val="008641BB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5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9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70A"/>
    <w:rsid w:val="00925815"/>
    <w:rsid w:val="00925835"/>
    <w:rsid w:val="00925840"/>
    <w:rsid w:val="009258F3"/>
    <w:rsid w:val="00925A2D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879"/>
    <w:rsid w:val="00936939"/>
    <w:rsid w:val="0093695A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86D"/>
    <w:rsid w:val="0096289D"/>
    <w:rsid w:val="00962950"/>
    <w:rsid w:val="009629B0"/>
    <w:rsid w:val="009629D6"/>
    <w:rsid w:val="00962A02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CF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81B"/>
    <w:rsid w:val="00997904"/>
    <w:rsid w:val="009979C9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01"/>
    <w:rsid w:val="009B251E"/>
    <w:rsid w:val="009B25AF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73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933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44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A1"/>
    <w:rsid w:val="00A03493"/>
    <w:rsid w:val="00A0353B"/>
    <w:rsid w:val="00A03571"/>
    <w:rsid w:val="00A03579"/>
    <w:rsid w:val="00A03641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7A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07"/>
    <w:rsid w:val="00A33BAE"/>
    <w:rsid w:val="00A33C1A"/>
    <w:rsid w:val="00A33C70"/>
    <w:rsid w:val="00A33E11"/>
    <w:rsid w:val="00A33E1E"/>
    <w:rsid w:val="00A33E7E"/>
    <w:rsid w:val="00A3404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014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BE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0F4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3F3"/>
    <w:rsid w:val="00AB4434"/>
    <w:rsid w:val="00AB457C"/>
    <w:rsid w:val="00AB45E7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7D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1A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AB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7B8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6"/>
    <w:rsid w:val="00C1395F"/>
    <w:rsid w:val="00C139A7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D4"/>
    <w:rsid w:val="00CB2FEB"/>
    <w:rsid w:val="00CB304F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D2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5D1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0D1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1E3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B9C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1D7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D0"/>
    <w:rsid w:val="00EA2603"/>
    <w:rsid w:val="00EA2648"/>
    <w:rsid w:val="00EA2697"/>
    <w:rsid w:val="00EA271A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D7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5B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5"/>
    <w:rsid w:val="00EF7F50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99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43"/>
    <w:rsid w:val="00F204E9"/>
    <w:rsid w:val="00F205DD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77"/>
    <w:rsid w:val="00F302A2"/>
    <w:rsid w:val="00F3030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9F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retariasenado.gov.co/index.php/proyectos-de-ley-201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in-juriscol.gov.co/viewDocument.asp?ruta=Leyes/165576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in-juriscol.gov.co/viewDocument.asp?id=16835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Decretos/18333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010A-C6D1-4B01-84A5-3B9ADF3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3318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2020-11-07T14:31:00Z</dcterms:created>
  <dcterms:modified xsi:type="dcterms:W3CDTF">2020-11-07T14:31:00Z</dcterms:modified>
</cp:coreProperties>
</file>