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C7780" w14:textId="0E79E0BA" w:rsidR="00505DFE" w:rsidRPr="00505DFE" w:rsidRDefault="00505DFE" w:rsidP="00505DFE">
      <w:pPr>
        <w:keepNext/>
        <w:framePr w:dropCap="drop" w:lines="3" w:wrap="around" w:vAnchor="text" w:hAnchor="text"/>
        <w:spacing w:after="0" w:line="926" w:lineRule="exact"/>
        <w:textAlignment w:val="baseline"/>
        <w:rPr>
          <w:position w:val="-8"/>
          <w:sz w:val="121"/>
          <w:lang w:val="en-US"/>
        </w:rPr>
      </w:pPr>
      <w:r w:rsidRPr="00505DFE">
        <w:rPr>
          <w:position w:val="-8"/>
          <w:sz w:val="121"/>
          <w:lang w:val="en-US"/>
        </w:rPr>
        <w:t>J</w:t>
      </w:r>
    </w:p>
    <w:p w14:paraId="0FAC8116" w14:textId="56F1A5CE" w:rsidR="00B225E4" w:rsidRDefault="003A126C" w:rsidP="003A126C">
      <w:pPr>
        <w:rPr>
          <w:lang w:val="en-US"/>
        </w:rPr>
      </w:pPr>
      <w:r w:rsidRPr="00505DFE">
        <w:rPr>
          <w:lang w:val="en-US"/>
        </w:rPr>
        <w:t>ohan Graaf</w:t>
      </w:r>
      <w:r w:rsidR="00505DFE">
        <w:rPr>
          <w:lang w:val="en-US"/>
        </w:rPr>
        <w:t xml:space="preserve"> y</w:t>
      </w:r>
      <w:r w:rsidRPr="00505DFE">
        <w:rPr>
          <w:lang w:val="en-US"/>
        </w:rPr>
        <w:t xml:space="preserve"> Gustav Johed,</w:t>
      </w:r>
      <w:r w:rsidR="00505DFE" w:rsidRPr="00505DFE">
        <w:rPr>
          <w:lang w:val="en-US"/>
        </w:rPr>
        <w:t xml:space="preserve"> en su artículo </w:t>
      </w:r>
      <w:hyperlink r:id="rId8" w:history="1">
        <w:r w:rsidRPr="00505DFE">
          <w:rPr>
            <w:rStyle w:val="Hipervnculo"/>
            <w:i/>
            <w:iCs/>
            <w:lang w:val="en-US"/>
          </w:rPr>
          <w:t>“Reverse brokering” and the consumption of accounting: A broker desk ethnography of an investment case</w:t>
        </w:r>
      </w:hyperlink>
      <w:r w:rsidRPr="003A126C">
        <w:rPr>
          <w:lang w:val="en-US"/>
        </w:rPr>
        <w:t>,</w:t>
      </w:r>
      <w:r w:rsidR="00505DFE">
        <w:rPr>
          <w:lang w:val="en-US"/>
        </w:rPr>
        <w:t xml:space="preserve"> publicado por </w:t>
      </w:r>
      <w:r w:rsidRPr="00505DFE">
        <w:rPr>
          <w:i/>
          <w:iCs/>
          <w:lang w:val="en-US"/>
        </w:rPr>
        <w:t>Accounting, Organizations and Society</w:t>
      </w:r>
      <w:r w:rsidRPr="003A126C">
        <w:rPr>
          <w:lang w:val="en-US"/>
        </w:rPr>
        <w:t>,</w:t>
      </w:r>
      <w:r w:rsidR="00505DFE">
        <w:rPr>
          <w:lang w:val="en-US"/>
        </w:rPr>
        <w:t xml:space="preserve"> </w:t>
      </w:r>
      <w:r w:rsidRPr="003A126C">
        <w:rPr>
          <w:lang w:val="en-US"/>
        </w:rPr>
        <w:t>Volume 85,</w:t>
      </w:r>
      <w:r w:rsidR="00505DFE">
        <w:rPr>
          <w:lang w:val="en-US"/>
        </w:rPr>
        <w:t xml:space="preserve"> </w:t>
      </w:r>
      <w:r w:rsidRPr="003A126C">
        <w:rPr>
          <w:lang w:val="en-US"/>
        </w:rPr>
        <w:t>2020,</w:t>
      </w:r>
      <w:r w:rsidR="00505DFE">
        <w:rPr>
          <w:lang w:val="en-US"/>
        </w:rPr>
        <w:t xml:space="preserve"> </w:t>
      </w:r>
      <w:r w:rsidRPr="003A126C">
        <w:rPr>
          <w:lang w:val="en-US"/>
        </w:rPr>
        <w:t>101154,</w:t>
      </w:r>
      <w:r w:rsidR="00505DFE">
        <w:rPr>
          <w:lang w:val="en-US"/>
        </w:rPr>
        <w:t xml:space="preserve"> res7mieron su trabajo así: “</w:t>
      </w:r>
      <w:r w:rsidR="00505DFE" w:rsidRPr="00505DFE">
        <w:rPr>
          <w:i/>
          <w:iCs/>
          <w:lang w:val="en-US"/>
        </w:rPr>
        <w:t xml:space="preserve">This study examines the under-researched equity sales function and analyses how equity brokers use accounting to generate individualized, contrarian investment recommendations to serve fund manager clients in a highly competitive market for investment advice. This study reports on the brokers’ practices using an ethnographically inspired study of an equity sales desk and follows the lifecycle of a brokers’ investment case referred to herein as “Indumine” (pseudonym). The analysis shows how the brokers used accounting to develop the case together with fund manager clients and against the analyst consensus – a practice the brokers referred to as “reverse brokering”. Unlike previous analyses of how accounting influences investment decisions by being stable and objective, the brokers in our analysis continually added and abandoned accounting items in order to maintain a distance from consensus, remain subjective and interesting to clients, and achieve recognition. To make theoretical sense of such a use of accounting, this paper puts forth a consumption perspective of accounting. The argument is that the relevance of the accounting used for the brokers’ investment recommendations is consumed when the information becomes factual and impersonal, and no longer sustains the brokers’ contrarian view of the </w:t>
      </w:r>
      <w:r w:rsidR="00505DFE" w:rsidRPr="00505DFE">
        <w:rPr>
          <w:i/>
          <w:iCs/>
          <w:lang w:val="en-US"/>
        </w:rPr>
        <w:t>share; the challenge for the brokers is to sustain the economic potential of the case despite the temporary facticity of the accounting information. The paper proposes that this form of accounting consumption constitutes an elementary form of accounting use, operating in the shadow of more formal information infrastructure</w:t>
      </w:r>
      <w:r w:rsidR="00505DFE" w:rsidRPr="00505DFE">
        <w:rPr>
          <w:lang w:val="en-US"/>
        </w:rPr>
        <w:t>.</w:t>
      </w:r>
      <w:r w:rsidR="00505DFE">
        <w:rPr>
          <w:lang w:val="en-US"/>
        </w:rPr>
        <w:t>”</w:t>
      </w:r>
    </w:p>
    <w:p w14:paraId="6FB1A717" w14:textId="1D00BF9F" w:rsidR="00067136" w:rsidRPr="00067136" w:rsidRDefault="00505DFE" w:rsidP="00067136">
      <w:pPr>
        <w:rPr>
          <w:lang w:val="en-US"/>
        </w:rPr>
      </w:pPr>
      <w:r w:rsidRPr="00505DFE">
        <w:t>Queda uno impresionado sobre lo q</w:t>
      </w:r>
      <w:r>
        <w:t xml:space="preserve">ue hicieron algunos corredores para atraer inversionistas. No es que antes ignoráramos la confusamente denominada contabilidad creativa. Muchos artículos nos enseñan del fraude que comete una entidad contra los usuarios de la información. Aquí nos muestran que unos terceros, que siempre están en situación de conflicto, ya que por lo general su remuneración es una comisión sobre los negocios que perfeccionen, </w:t>
      </w:r>
      <w:r w:rsidR="00AC2901">
        <w:t xml:space="preserve">influyen de tal manera que acomodan los estados financieros a sus concepciones sobre lo que viene a ser una imagen atrayente. Muchas legislaciones obligan a los corredores a responder por la seriedad de las ofertas, de manera que ellos buscan ciertas protecciones. Es </w:t>
      </w:r>
      <w:r w:rsidR="00677CBB">
        <w:t>entonces</w:t>
      </w:r>
      <w:r w:rsidR="00AC2901">
        <w:t xml:space="preserve"> </w:t>
      </w:r>
      <w:r w:rsidR="00677CBB">
        <w:t>cuando</w:t>
      </w:r>
      <w:r w:rsidR="00AC2901">
        <w:t xml:space="preserve"> exigen al emisor una serie de afirmaciones concretas que les den cobertura. Así nació el trabajo de los auditores conocido como la revisión de las cartas de conformidad, pues estas son el objeto del examen, al paso que el informe consiste en pronunciarse sobre si son o no ciertas las manifestaciones en esos documentos. </w:t>
      </w:r>
      <w:r w:rsidR="00AC2901" w:rsidRPr="00067136">
        <w:rPr>
          <w:lang w:val="en-US"/>
        </w:rPr>
        <w:t xml:space="preserve">Véase, por ejemplo, </w:t>
      </w:r>
      <w:hyperlink r:id="rId9" w:history="1">
        <w:r w:rsidR="00067136" w:rsidRPr="00067136">
          <w:rPr>
            <w:rStyle w:val="Hipervnculo"/>
            <w:lang w:val="en-US"/>
          </w:rPr>
          <w:t>AS 6101: Letters for Underwriters and Certain Other Requesting Parties</w:t>
        </w:r>
      </w:hyperlink>
    </w:p>
    <w:p w14:paraId="434F4156" w14:textId="66CBF8FD" w:rsidR="00505DFE" w:rsidRPr="00067136" w:rsidRDefault="00067136" w:rsidP="00067136">
      <w:pPr>
        <w:jc w:val="right"/>
        <w:rPr>
          <w:lang w:val="en-US"/>
        </w:rPr>
      </w:pPr>
      <w:r w:rsidRPr="00A145AF">
        <w:rPr>
          <w:i/>
          <w:iCs/>
        </w:rPr>
        <w:t>Hernando Bermúdez Gómez</w:t>
      </w:r>
    </w:p>
    <w:sectPr w:rsidR="00505DFE" w:rsidRPr="00067136"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B4525" w14:textId="77777777" w:rsidR="001C1FA3" w:rsidRDefault="001C1FA3" w:rsidP="00EE7812">
      <w:pPr>
        <w:spacing w:after="0" w:line="240" w:lineRule="auto"/>
      </w:pPr>
      <w:r>
        <w:separator/>
      </w:r>
    </w:p>
  </w:endnote>
  <w:endnote w:type="continuationSeparator" w:id="0">
    <w:p w14:paraId="66C88E93" w14:textId="77777777" w:rsidR="001C1FA3" w:rsidRDefault="001C1FA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F7090" w14:textId="77777777" w:rsidR="001C1FA3" w:rsidRDefault="001C1FA3" w:rsidP="00EE7812">
      <w:pPr>
        <w:spacing w:after="0" w:line="240" w:lineRule="auto"/>
      </w:pPr>
      <w:r>
        <w:separator/>
      </w:r>
    </w:p>
  </w:footnote>
  <w:footnote w:type="continuationSeparator" w:id="0">
    <w:p w14:paraId="6FA48EDC" w14:textId="77777777" w:rsidR="001C1FA3" w:rsidRDefault="001C1FA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De Computationis Jure Opiniones</w:t>
    </w:r>
  </w:p>
  <w:p w14:paraId="2CA0A13D" w14:textId="0E6311E2" w:rsidR="0000261B" w:rsidRDefault="0000261B" w:rsidP="00613BC8">
    <w:pPr>
      <w:pStyle w:val="Encabezado"/>
      <w:tabs>
        <w:tab w:val="left" w:pos="2580"/>
        <w:tab w:val="left" w:pos="2985"/>
      </w:tabs>
      <w:spacing w:line="276" w:lineRule="auto"/>
      <w:jc w:val="right"/>
    </w:pPr>
    <w:r>
      <w:t>Número 5</w:t>
    </w:r>
    <w:r w:rsidR="00E95638">
      <w:t>4</w:t>
    </w:r>
    <w:r w:rsidR="00665975">
      <w:t>5</w:t>
    </w:r>
    <w:r w:rsidR="000145E9">
      <w:t>2</w:t>
    </w:r>
    <w:r>
      <w:t xml:space="preserve">, </w:t>
    </w:r>
    <w:r w:rsidR="008B3F7C">
      <w:t>23</w:t>
    </w:r>
    <w:r>
      <w:t xml:space="preserve"> de </w:t>
    </w:r>
    <w:r w:rsidR="00920EB5">
      <w:t>noviembre</w:t>
    </w:r>
    <w:r>
      <w:t xml:space="preserve"> de 2020</w:t>
    </w:r>
  </w:p>
  <w:p w14:paraId="29566F03" w14:textId="77777777" w:rsidR="0000261B" w:rsidRDefault="001C1FA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A3"/>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1"/>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98D"/>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ocuments\hbg\borradorescontrapartida\doi.org\10.1016\j.aos.2020.10115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caobus.org/Standards/Auditing/Pages/AS610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499</Words>
  <Characters>2749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2020-11-21T16:48:00Z</dcterms:created>
  <dcterms:modified xsi:type="dcterms:W3CDTF">2020-11-21T16:48:00Z</dcterms:modified>
</cp:coreProperties>
</file>