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AC" w:rsidRPr="008572AC" w:rsidRDefault="008572AC" w:rsidP="008572AC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8572AC">
        <w:rPr>
          <w:rFonts w:cs="Calibri"/>
          <w:position w:val="-8"/>
          <w:sz w:val="122"/>
        </w:rPr>
        <w:t>A</w:t>
      </w:r>
    </w:p>
    <w:p w:rsidR="00727006" w:rsidRDefault="008572AC" w:rsidP="00507A48">
      <w:r>
        <w:t xml:space="preserve">lgunos estudiosos de la contabilidad integran la teoría contable por tres elementos: postulados, principios y limitaciones. El artículo 5° del </w:t>
      </w:r>
      <w:hyperlink r:id="rId9" w:history="1">
        <w:r w:rsidRPr="008572AC">
          <w:rPr>
            <w:rStyle w:val="Hipervnculo"/>
          </w:rPr>
          <w:t>Decreto reglamentario número 2649 de 1993</w:t>
        </w:r>
      </w:hyperlink>
      <w:r>
        <w:t xml:space="preserve"> acogió esta concepción, denominando conceptos a los principios (con esta denominación evitó la tautología consistente en nombrar de la misma manera al todo y a una de sus partes).</w:t>
      </w:r>
      <w:r w:rsidR="000B7B94">
        <w:t xml:space="preserve"> El artículo 3° de la </w:t>
      </w:r>
      <w:hyperlink r:id="rId10" w:history="1">
        <w:r w:rsidR="000B7B94" w:rsidRPr="006F02B2">
          <w:rPr>
            <w:rStyle w:val="Hipervnculo"/>
          </w:rPr>
          <w:t>Ley 1314 de 2009</w:t>
        </w:r>
      </w:hyperlink>
      <w:r w:rsidR="000B7B94">
        <w:t xml:space="preserve"> alude a los “</w:t>
      </w:r>
      <w:r w:rsidR="000B7B94" w:rsidRPr="000B7B94">
        <w:t>postulados, prin</w:t>
      </w:r>
      <w:r w:rsidR="006F02B2">
        <w:t>cipios, limitaciones, conceptos”.</w:t>
      </w:r>
    </w:p>
    <w:p w:rsidR="008572AC" w:rsidRDefault="008572AC" w:rsidP="00507A48">
      <w:pPr>
        <w:rPr>
          <w:i/>
        </w:rPr>
      </w:pPr>
      <w:r>
        <w:t xml:space="preserve">Tal como nos enseña el </w:t>
      </w:r>
      <w:hyperlink r:id="rId11" w:history="1">
        <w:proofErr w:type="spellStart"/>
        <w:r w:rsidRPr="008572AC">
          <w:rPr>
            <w:rStyle w:val="Hipervnculo"/>
            <w:smallCaps/>
          </w:rPr>
          <w:t>Drae</w:t>
        </w:r>
        <w:proofErr w:type="spellEnd"/>
      </w:hyperlink>
      <w:r>
        <w:t xml:space="preserve">, postulado es la </w:t>
      </w:r>
      <w:r w:rsidRPr="008572AC">
        <w:rPr>
          <w:i/>
        </w:rPr>
        <w:t>Proposición cuya verdad se admite sin pruebas y que es necesaria para servir de base en ulteriores razonamientos</w:t>
      </w:r>
      <w:r>
        <w:rPr>
          <w:i/>
        </w:rPr>
        <w:t>.</w:t>
      </w:r>
    </w:p>
    <w:p w:rsidR="00D51980" w:rsidRDefault="00D51980" w:rsidP="00507A48">
      <w:r>
        <w:t xml:space="preserve">Un postulado básico de la contabilidad es el del </w:t>
      </w:r>
      <w:r w:rsidRPr="00D51980">
        <w:rPr>
          <w:i/>
        </w:rPr>
        <w:t>ente</w:t>
      </w:r>
      <w:r>
        <w:rPr>
          <w:i/>
        </w:rPr>
        <w:t xml:space="preserve"> </w:t>
      </w:r>
      <w:r>
        <w:t xml:space="preserve">(postulado referido por otros como la </w:t>
      </w:r>
      <w:r w:rsidRPr="00D51980">
        <w:rPr>
          <w:i/>
        </w:rPr>
        <w:t>entidad</w:t>
      </w:r>
      <w:r>
        <w:t xml:space="preserve">). Otrora el ente era identificado con las </w:t>
      </w:r>
      <w:r w:rsidRPr="00D51980">
        <w:rPr>
          <w:i/>
        </w:rPr>
        <w:t>personas</w:t>
      </w:r>
      <w:r>
        <w:t xml:space="preserve"> (en sentido jurídico). Pero hace mucho tiempo que dejó de ser así. Por ello los artículos 35 y 37 de la </w:t>
      </w:r>
      <w:hyperlink r:id="rId12" w:history="1">
        <w:r w:rsidRPr="00D51980">
          <w:rPr>
            <w:rStyle w:val="Hipervnculo"/>
          </w:rPr>
          <w:t>Ley 43 de 1990</w:t>
        </w:r>
      </w:hyperlink>
      <w:r w:rsidR="005E64B3">
        <w:t xml:space="preserve"> se refirieron</w:t>
      </w:r>
      <w:r>
        <w:t xml:space="preserve"> al </w:t>
      </w:r>
      <w:r w:rsidRPr="00D51980">
        <w:rPr>
          <w:i/>
        </w:rPr>
        <w:t>ente económico</w:t>
      </w:r>
      <w:r>
        <w:t xml:space="preserve">, noción que fue desarrollada por el artículo 6°del citado decreto 2649, en el cual se equipara el concepto de ente económico con el de </w:t>
      </w:r>
      <w:r w:rsidRPr="00D51980">
        <w:rPr>
          <w:i/>
        </w:rPr>
        <w:t>empresa</w:t>
      </w:r>
      <w:r>
        <w:t>.</w:t>
      </w:r>
    </w:p>
    <w:p w:rsidR="005E64B3" w:rsidRDefault="005E64B3" w:rsidP="00AC6AD3">
      <w:pPr>
        <w:rPr>
          <w:lang w:val="en-US"/>
        </w:rPr>
      </w:pPr>
      <w:r w:rsidRPr="00AC6AD3">
        <w:rPr>
          <w:lang w:val="en-US"/>
        </w:rPr>
        <w:t xml:space="preserve">Como se </w:t>
      </w:r>
      <w:proofErr w:type="spellStart"/>
      <w:r w:rsidRPr="00AC6AD3">
        <w:rPr>
          <w:lang w:val="en-US"/>
        </w:rPr>
        <w:t>sabe</w:t>
      </w:r>
      <w:proofErr w:type="spellEnd"/>
      <w:r w:rsidR="00290191">
        <w:rPr>
          <w:lang w:val="en-US"/>
        </w:rPr>
        <w:t>,</w:t>
      </w:r>
      <w:bookmarkStart w:id="0" w:name="_GoBack"/>
      <w:bookmarkEnd w:id="0"/>
      <w:r w:rsidRPr="00AC6AD3">
        <w:rPr>
          <w:lang w:val="en-US"/>
        </w:rPr>
        <w:t xml:space="preserve"> </w:t>
      </w:r>
      <w:proofErr w:type="spellStart"/>
      <w:r w:rsidRPr="00AC6AD3">
        <w:rPr>
          <w:lang w:val="en-US"/>
        </w:rPr>
        <w:t>una</w:t>
      </w:r>
      <w:proofErr w:type="spellEnd"/>
      <w:r w:rsidRPr="00AC6AD3">
        <w:rPr>
          <w:lang w:val="en-US"/>
        </w:rPr>
        <w:t xml:space="preserve"> de </w:t>
      </w:r>
      <w:proofErr w:type="spellStart"/>
      <w:r w:rsidRPr="00AC6AD3">
        <w:rPr>
          <w:lang w:val="en-US"/>
        </w:rPr>
        <w:t>las</w:t>
      </w:r>
      <w:proofErr w:type="spellEnd"/>
      <w:r w:rsidRPr="00AC6AD3">
        <w:rPr>
          <w:lang w:val="en-US"/>
        </w:rPr>
        <w:t xml:space="preserve"> </w:t>
      </w:r>
      <w:proofErr w:type="spellStart"/>
      <w:r w:rsidRPr="00AC6AD3">
        <w:rPr>
          <w:lang w:val="en-US"/>
        </w:rPr>
        <w:t>novedades</w:t>
      </w:r>
      <w:proofErr w:type="spellEnd"/>
      <w:r w:rsidRPr="00AC6AD3">
        <w:rPr>
          <w:lang w:val="en-US"/>
        </w:rPr>
        <w:t xml:space="preserve"> del </w:t>
      </w:r>
      <w:proofErr w:type="spellStart"/>
      <w:r w:rsidRPr="00AC6AD3">
        <w:rPr>
          <w:lang w:val="en-US"/>
        </w:rPr>
        <w:t>marco</w:t>
      </w:r>
      <w:proofErr w:type="spellEnd"/>
      <w:r w:rsidRPr="00AC6AD3">
        <w:rPr>
          <w:lang w:val="en-US"/>
        </w:rPr>
        <w:t xml:space="preserve"> </w:t>
      </w:r>
      <w:proofErr w:type="spellStart"/>
      <w:r w:rsidRPr="00AC6AD3">
        <w:rPr>
          <w:lang w:val="en-US"/>
        </w:rPr>
        <w:t>para</w:t>
      </w:r>
      <w:proofErr w:type="spellEnd"/>
      <w:r w:rsidRPr="00AC6AD3">
        <w:rPr>
          <w:lang w:val="en-US"/>
        </w:rPr>
        <w:t xml:space="preserve"> la </w:t>
      </w:r>
      <w:proofErr w:type="spellStart"/>
      <w:r w:rsidRPr="00AC6AD3">
        <w:rPr>
          <w:lang w:val="en-US"/>
        </w:rPr>
        <w:t>información</w:t>
      </w:r>
      <w:proofErr w:type="spellEnd"/>
      <w:r w:rsidRPr="00AC6AD3">
        <w:rPr>
          <w:lang w:val="en-US"/>
        </w:rPr>
        <w:t xml:space="preserve"> </w:t>
      </w:r>
      <w:proofErr w:type="spellStart"/>
      <w:r w:rsidRPr="00AC6AD3">
        <w:rPr>
          <w:lang w:val="en-US"/>
        </w:rPr>
        <w:t>financiera</w:t>
      </w:r>
      <w:proofErr w:type="spellEnd"/>
      <w:r w:rsidRPr="00AC6AD3">
        <w:rPr>
          <w:lang w:val="en-US"/>
        </w:rPr>
        <w:t xml:space="preserve"> de </w:t>
      </w:r>
      <w:proofErr w:type="spellStart"/>
      <w:r w:rsidRPr="00AC6AD3">
        <w:rPr>
          <w:smallCaps/>
          <w:lang w:val="en-US"/>
        </w:rPr>
        <w:t>Iasb</w:t>
      </w:r>
      <w:proofErr w:type="spellEnd"/>
      <w:r w:rsidRPr="00AC6AD3">
        <w:rPr>
          <w:lang w:val="en-US"/>
        </w:rPr>
        <w:t xml:space="preserve"> </w:t>
      </w:r>
      <w:proofErr w:type="spellStart"/>
      <w:r w:rsidRPr="00AC6AD3">
        <w:rPr>
          <w:lang w:val="en-US"/>
        </w:rPr>
        <w:t>será</w:t>
      </w:r>
      <w:proofErr w:type="spellEnd"/>
      <w:r w:rsidRPr="00AC6AD3">
        <w:rPr>
          <w:lang w:val="en-US"/>
        </w:rPr>
        <w:t xml:space="preserve"> la </w:t>
      </w:r>
      <w:proofErr w:type="spellStart"/>
      <w:r w:rsidRPr="00AC6AD3">
        <w:rPr>
          <w:lang w:val="en-US"/>
        </w:rPr>
        <w:t>inclusión</w:t>
      </w:r>
      <w:proofErr w:type="spellEnd"/>
      <w:r w:rsidRPr="00AC6AD3">
        <w:rPr>
          <w:lang w:val="en-US"/>
        </w:rPr>
        <w:t xml:space="preserve"> de un </w:t>
      </w:r>
      <w:hyperlink r:id="rId13" w:history="1">
        <w:proofErr w:type="spellStart"/>
        <w:r w:rsidRPr="00AC6AD3">
          <w:rPr>
            <w:rStyle w:val="Hipervnculo"/>
            <w:lang w:val="en-US"/>
          </w:rPr>
          <w:t>capítulo</w:t>
        </w:r>
        <w:proofErr w:type="spellEnd"/>
        <w:r w:rsidRPr="00AC6AD3">
          <w:rPr>
            <w:rStyle w:val="Hipervnculo"/>
            <w:lang w:val="en-US"/>
          </w:rPr>
          <w:t xml:space="preserve"> </w:t>
        </w:r>
        <w:proofErr w:type="spellStart"/>
        <w:r w:rsidRPr="00AC6AD3">
          <w:rPr>
            <w:rStyle w:val="Hipervnculo"/>
            <w:lang w:val="en-US"/>
          </w:rPr>
          <w:t>sobre</w:t>
        </w:r>
        <w:proofErr w:type="spellEnd"/>
        <w:r w:rsidRPr="00AC6AD3">
          <w:rPr>
            <w:rStyle w:val="Hipervnculo"/>
            <w:lang w:val="en-US"/>
          </w:rPr>
          <w:t xml:space="preserve"> el </w:t>
        </w:r>
        <w:proofErr w:type="spellStart"/>
        <w:r w:rsidRPr="00AC6AD3">
          <w:rPr>
            <w:rStyle w:val="Hipervnculo"/>
            <w:lang w:val="en-US"/>
          </w:rPr>
          <w:t>ente</w:t>
        </w:r>
        <w:proofErr w:type="spellEnd"/>
      </w:hyperlink>
      <w:r w:rsidR="00AC6AD3" w:rsidRPr="00AC6AD3">
        <w:rPr>
          <w:lang w:val="en-US"/>
        </w:rPr>
        <w:t xml:space="preserve">, el </w:t>
      </w:r>
      <w:proofErr w:type="spellStart"/>
      <w:r w:rsidR="00AC6AD3" w:rsidRPr="00AC6AD3">
        <w:rPr>
          <w:lang w:val="en-US"/>
        </w:rPr>
        <w:t>cual</w:t>
      </w:r>
      <w:proofErr w:type="spellEnd"/>
      <w:r w:rsidR="00AC6AD3" w:rsidRPr="00AC6AD3">
        <w:rPr>
          <w:lang w:val="en-US"/>
        </w:rPr>
        <w:t xml:space="preserve"> </w:t>
      </w:r>
      <w:proofErr w:type="spellStart"/>
      <w:r w:rsidR="00AC6AD3" w:rsidRPr="00AC6AD3">
        <w:rPr>
          <w:lang w:val="en-US"/>
        </w:rPr>
        <w:t>es</w:t>
      </w:r>
      <w:proofErr w:type="spellEnd"/>
      <w:r w:rsidR="00AC6AD3" w:rsidRPr="00AC6AD3">
        <w:rPr>
          <w:lang w:val="en-US"/>
        </w:rPr>
        <w:t xml:space="preserve"> </w:t>
      </w:r>
      <w:proofErr w:type="spellStart"/>
      <w:r w:rsidR="00AC6AD3" w:rsidRPr="00AC6AD3">
        <w:rPr>
          <w:lang w:val="en-US"/>
        </w:rPr>
        <w:t>concebido</w:t>
      </w:r>
      <w:proofErr w:type="spellEnd"/>
      <w:r w:rsidR="00AC6AD3" w:rsidRPr="00AC6AD3">
        <w:rPr>
          <w:lang w:val="en-US"/>
        </w:rPr>
        <w:t xml:space="preserve"> </w:t>
      </w:r>
      <w:proofErr w:type="spellStart"/>
      <w:r w:rsidR="00AC6AD3" w:rsidRPr="00AC6AD3">
        <w:rPr>
          <w:lang w:val="en-US"/>
        </w:rPr>
        <w:t>así</w:t>
      </w:r>
      <w:proofErr w:type="spellEnd"/>
      <w:r w:rsidR="00AC6AD3" w:rsidRPr="00AC6AD3">
        <w:rPr>
          <w:lang w:val="en-US"/>
        </w:rPr>
        <w:t xml:space="preserve">: </w:t>
      </w:r>
      <w:r w:rsidR="00AC6AD3" w:rsidRPr="00AC6AD3">
        <w:rPr>
          <w:i/>
          <w:lang w:val="en-US"/>
        </w:rPr>
        <w:t>A reporting entity is a circumscribed area of economic activities whose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>financial information has the potential to be useful to existing and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>potential equity investors, lenders and other creditors who cannot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>directly obtain the information they need in making decisions about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 xml:space="preserve">providing </w:t>
      </w:r>
      <w:r w:rsidR="00AC6AD3" w:rsidRPr="00AC6AD3">
        <w:rPr>
          <w:i/>
          <w:lang w:val="en-US"/>
        </w:rPr>
        <w:lastRenderedPageBreak/>
        <w:t>resources to the entity and in assessing whether the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>management and the governing board of that entity have made efficient</w:t>
      </w:r>
      <w:r w:rsidR="00AC6AD3" w:rsidRPr="00AC6AD3">
        <w:rPr>
          <w:i/>
          <w:lang w:val="en-US"/>
        </w:rPr>
        <w:t xml:space="preserve"> </w:t>
      </w:r>
      <w:r w:rsidR="00AC6AD3" w:rsidRPr="00AC6AD3">
        <w:rPr>
          <w:i/>
          <w:lang w:val="en-US"/>
        </w:rPr>
        <w:t>and effective use of the resources provided</w:t>
      </w:r>
      <w:r w:rsidR="00AC6AD3" w:rsidRPr="00AC6AD3">
        <w:rPr>
          <w:lang w:val="en-US"/>
        </w:rPr>
        <w:t>.</w:t>
      </w:r>
    </w:p>
    <w:p w:rsidR="00AC6AD3" w:rsidRDefault="00AC6AD3" w:rsidP="00AC6AD3">
      <w:r w:rsidRPr="00AC6AD3">
        <w:t>El concepto económico y no jur</w:t>
      </w:r>
      <w:r>
        <w:t xml:space="preserve">ídico de ente permite que una persona lleve contabilidad separada de parte de sus negocios, como las fiduciarias respecto de cada patrimonio autónomo o las sociedades de servicios públicos domiciliarios respecto de cada servicio y, ahora, la contabilidad separada que deberán llevar </w:t>
      </w:r>
      <w:hyperlink r:id="rId14" w:history="1">
        <w:r w:rsidRPr="00AC6AD3">
          <w:rPr>
            <w:rStyle w:val="Hipervnculo"/>
          </w:rPr>
          <w:t>los Operadores de Servicios Postales de Pago</w:t>
        </w:r>
      </w:hyperlink>
      <w:r>
        <w:t>.</w:t>
      </w:r>
    </w:p>
    <w:p w:rsidR="00AC6AD3" w:rsidRDefault="00AC6AD3" w:rsidP="00AC6AD3">
      <w:r>
        <w:t>¿Qué tuvo que ver el Consejo Técnico de la Contaduría Pública en la expedición de</w:t>
      </w:r>
      <w:r w:rsidR="00BF1C26">
        <w:t xml:space="preserve"> </w:t>
      </w:r>
      <w:r>
        <w:t>l</w:t>
      </w:r>
      <w:r w:rsidR="00BF1C26">
        <w:t>a</w:t>
      </w:r>
      <w:r>
        <w:t xml:space="preserve"> </w:t>
      </w:r>
      <w:r w:rsidR="00BF1C26">
        <w:t>resolución</w:t>
      </w:r>
      <w:r w:rsidRPr="00AC6AD3">
        <w:t xml:space="preserve"> 3774</w:t>
      </w:r>
      <w:r>
        <w:t>,</w:t>
      </w:r>
      <w:r w:rsidRPr="00AC6AD3">
        <w:t xml:space="preserve"> por </w:t>
      </w:r>
      <w:r w:rsidR="00BF1C26">
        <w:t>la</w:t>
      </w:r>
      <w:r w:rsidRPr="00AC6AD3">
        <w:t xml:space="preserve"> cual se definen los términos del esquema de contabilidad separada que deben llevar los Operadores de Servicios Postales de Pago y</w:t>
      </w:r>
      <w:r>
        <w:t xml:space="preserve"> se dictan otras disposiciones? ¿Si tenía la </w:t>
      </w:r>
      <w:r w:rsidRPr="00AC6AD3">
        <w:t>Comisión de Regulación de Comunicaciones</w:t>
      </w:r>
      <w:r>
        <w:t xml:space="preserve"> facultades para su adopción? ¿Se dio cumplimiento al numeral 5 del artículo 7 de la Ley 1314 de 2009?</w:t>
      </w:r>
      <w:r w:rsidR="000B453B">
        <w:t xml:space="preserve"> ¿Se tuvo en cuenta l</w:t>
      </w:r>
      <w:r w:rsidR="00BF1C26">
        <w:t>o</w:t>
      </w:r>
      <w:r w:rsidR="000B453B">
        <w:t xml:space="preserve"> dispuesto en el artículo 12 de la misma ley?</w:t>
      </w:r>
      <w:r>
        <w:t xml:space="preserve"> </w:t>
      </w:r>
    </w:p>
    <w:p w:rsidR="00BF1C26" w:rsidRDefault="00BF1C26" w:rsidP="00AC6AD3">
      <w:r>
        <w:t>¿Cuál será la suerte de las contabilidades separadas si se adoptan las normas internacionales completas o las normas internacionales para pymes?</w:t>
      </w:r>
    </w:p>
    <w:p w:rsidR="00BF1C26" w:rsidRDefault="00BF1C26" w:rsidP="00AC6AD3">
      <w:r>
        <w:t>He aquí una importante cuestión que debe ser resuelta a la luz del sistema legal colombiano, específicamente por el derecho contable del País, que, hasta el momento, no ha sido objeto, siquiera, de propuestas.</w:t>
      </w:r>
    </w:p>
    <w:p w:rsidR="00BF1C26" w:rsidRPr="00BF1C26" w:rsidRDefault="00BF1C26" w:rsidP="00BF1C26">
      <w:pPr>
        <w:jc w:val="right"/>
        <w:rPr>
          <w:i/>
        </w:rPr>
      </w:pPr>
      <w:r w:rsidRPr="00BF1C26">
        <w:rPr>
          <w:i/>
        </w:rPr>
        <w:t>Hernando Bermúdez Gómez</w:t>
      </w:r>
    </w:p>
    <w:sectPr w:rsidR="00BF1C26" w:rsidRPr="00BF1C26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64" w:rsidRDefault="00141E64" w:rsidP="00EE7812">
      <w:pPr>
        <w:spacing w:after="0" w:line="240" w:lineRule="auto"/>
      </w:pPr>
      <w:r>
        <w:separator/>
      </w:r>
    </w:p>
  </w:endnote>
  <w:endnote w:type="continuationSeparator" w:id="0">
    <w:p w:rsidR="00141E64" w:rsidRDefault="00141E6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64" w:rsidRDefault="00141E64" w:rsidP="00EE7812">
      <w:pPr>
        <w:spacing w:after="0" w:line="240" w:lineRule="auto"/>
      </w:pPr>
      <w:r>
        <w:separator/>
      </w:r>
    </w:p>
  </w:footnote>
  <w:footnote w:type="continuationSeparator" w:id="0">
    <w:p w:rsidR="00141E64" w:rsidRDefault="00141E6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4864C0">
      <w:t>4</w:t>
    </w:r>
    <w:r w:rsidR="00507A48">
      <w:t>8</w:t>
    </w:r>
    <w:r w:rsidR="009D09BB">
      <w:t xml:space="preserve">, </w:t>
    </w:r>
    <w:r w:rsidR="00E00D55">
      <w:t xml:space="preserve">julio </w:t>
    </w:r>
    <w:r w:rsidR="003B132B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141E6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938"/>
    <w:rsid w:val="002206E3"/>
    <w:rsid w:val="00220756"/>
    <w:rsid w:val="002209EF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980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Current+Projects/IASB+Projects/Conceptual+Framework/EDMar10/Exposure+draft+and+comment+letters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90-ley-43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ma.rae.es/drae/srv/search?id=AD4kDgajODXX2ptZj5zQ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hyperlink" Target="http://servoaspr.imprenta.gov.co/diariop/diario2.pdf?p_tipo=16&amp;p_numero=3774&amp;p_fecha=09/07/2012&amp;p_consec=1314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7A44-1F26-4C20-9E77-720D3B23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550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9</cp:revision>
  <cp:lastPrinted>2011-08-23T16:28:00Z</cp:lastPrinted>
  <dcterms:created xsi:type="dcterms:W3CDTF">2012-07-16T15:31:00Z</dcterms:created>
  <dcterms:modified xsi:type="dcterms:W3CDTF">2012-07-16T16:39:00Z</dcterms:modified>
</cp:coreProperties>
</file>