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D6" w:rsidRPr="002C4AD6" w:rsidRDefault="002C4AD6" w:rsidP="002C4AD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2C4AD6">
        <w:rPr>
          <w:rFonts w:cs="Calibri"/>
          <w:position w:val="-8"/>
          <w:sz w:val="120"/>
        </w:rPr>
        <w:t>C</w:t>
      </w:r>
    </w:p>
    <w:p w:rsidR="002C4AD6" w:rsidRPr="002C4AD6" w:rsidRDefault="002C4AD6" w:rsidP="002C4AD6">
      <w:r>
        <w:t>o</w:t>
      </w:r>
      <w:r w:rsidRPr="002C4AD6">
        <w:t xml:space="preserve">n la expedición de la </w:t>
      </w:r>
      <w:hyperlink r:id="rId9" w:history="1">
        <w:r w:rsidRPr="007E00DE">
          <w:rPr>
            <w:rStyle w:val="Hyperlink"/>
          </w:rPr>
          <w:t>Ley 1517 de abril 27 de 2012</w:t>
        </w:r>
      </w:hyperlink>
      <w:r w:rsidRPr="002C4AD6">
        <w:t xml:space="preserve">, conocida como Ley de Libranza, se </w:t>
      </w:r>
      <w:r w:rsidR="00BC7099">
        <w:t>introdujo</w:t>
      </w:r>
      <w:r w:rsidRPr="002C4AD6">
        <w:t xml:space="preserve"> un cambio significativo en la aplicación de la retención en la fuente para trabajadores independientes. </w:t>
      </w:r>
    </w:p>
    <w:p w:rsidR="002C4AD6" w:rsidRPr="002C4AD6" w:rsidRDefault="002C4AD6" w:rsidP="002C4AD6">
      <w:r w:rsidRPr="002C4AD6">
        <w:t xml:space="preserve">Esta Ley, a través de </w:t>
      </w:r>
      <w:r w:rsidR="007E00DE">
        <w:t>sus</w:t>
      </w:r>
      <w:r w:rsidRPr="002C4AD6">
        <w:t xml:space="preserve"> artículos 13 y 15, derogó el artículo 173 de la </w:t>
      </w:r>
      <w:hyperlink r:id="rId10" w:history="1">
        <w:r w:rsidRPr="00253A07">
          <w:rPr>
            <w:rStyle w:val="Hyperlink"/>
          </w:rPr>
          <w:t>Ley 1450 de junio de 2011</w:t>
        </w:r>
      </w:hyperlink>
      <w:r w:rsidRPr="002C4AD6">
        <w:t xml:space="preserve"> y su </w:t>
      </w:r>
      <w:hyperlink r:id="rId11" w:history="1">
        <w:r w:rsidRPr="00253A07">
          <w:rPr>
            <w:rStyle w:val="Hyperlink"/>
          </w:rPr>
          <w:t>Decreto Reglamentario 3590 de septiembre de 2011</w:t>
        </w:r>
      </w:hyperlink>
      <w:r w:rsidRPr="002C4AD6">
        <w:t xml:space="preserve">, los cuales </w:t>
      </w:r>
      <w:r w:rsidR="00104FFE">
        <w:t>ordenaban</w:t>
      </w:r>
      <w:r w:rsidRPr="002C4AD6">
        <w:t xml:space="preserve"> aplicar la tabla de retención en la fuente para asalariados contenida en el </w:t>
      </w:r>
      <w:hyperlink r:id="rId12" w:history="1">
        <w:r w:rsidRPr="00246912">
          <w:rPr>
            <w:rStyle w:val="Hyperlink"/>
          </w:rPr>
          <w:t>Art. 383 del E.T.</w:t>
        </w:r>
      </w:hyperlink>
      <w:r w:rsidRPr="002C4AD6">
        <w:t>, a aquellos trabajadores independientes con ingresos mensuales inferiores a 300 UVT y que tuvieran contratos firmados con los beneficiarios de dichos servicios.</w:t>
      </w:r>
    </w:p>
    <w:p w:rsidR="002C4AD6" w:rsidRPr="002C4AD6" w:rsidRDefault="002C4AD6" w:rsidP="002C4AD6">
      <w:r w:rsidRPr="002C4AD6">
        <w:t>La aplicación de este procedimiento creaba inequidad frente a otros contribuyentes, pues aquellos trabajadores independientes que esporádicamente prestaran un servicio sin firma de contrato no serían objeto de este beneficio.</w:t>
      </w:r>
    </w:p>
    <w:p w:rsidR="002C4AD6" w:rsidRPr="002C4AD6" w:rsidRDefault="002C4AD6" w:rsidP="002C4AD6">
      <w:r w:rsidRPr="002C4AD6">
        <w:t>La nueva tabla</w:t>
      </w:r>
      <w:r w:rsidR="00AB4141">
        <w:t>,</w:t>
      </w:r>
      <w:r w:rsidRPr="002C4AD6">
        <w:t xml:space="preserve"> que estableció el artículo 13 de la Ley de Libranzas, </w:t>
      </w:r>
      <w:r w:rsidR="00AB4141">
        <w:t>determina</w:t>
      </w:r>
      <w:r w:rsidRPr="002C4AD6">
        <w:t xml:space="preserve"> porcentajes de retención en la fuente que van desde el 2%</w:t>
      </w:r>
      <w:r w:rsidR="00BC7099">
        <w:t xml:space="preserve"> </w:t>
      </w:r>
      <w:r w:rsidRPr="002C4AD6">
        <w:t>hasta el 8% y se puede aplicar a cualquier trabajador independiente, sin importar si tiene o no firmado un contrato, pero debiendo cumplir dos requisitos: pertenecer al régimen simplificado del IVA y no recibir pagos mensuales superiores a 300 UVT.</w:t>
      </w:r>
      <w:r w:rsidR="00BC7099">
        <w:t xml:space="preserve"> </w:t>
      </w:r>
    </w:p>
    <w:p w:rsidR="002C4AD6" w:rsidRPr="002C4AD6" w:rsidRDefault="002C4AD6" w:rsidP="002C4AD6">
      <w:r w:rsidRPr="002C4AD6">
        <w:t xml:space="preserve">En principio se creía que el problema de inequidad tributaria quedaba superado con esta nueva ley, pero aplicando la tabla establecida en la misma algunos contribuyentes (trabajadores </w:t>
      </w:r>
      <w:r w:rsidRPr="002C4AD6">
        <w:lastRenderedPageBreak/>
        <w:t>independientes) resulta</w:t>
      </w:r>
      <w:r w:rsidR="00511F7D">
        <w:t>rá</w:t>
      </w:r>
      <w:bookmarkStart w:id="0" w:name="_GoBack"/>
      <w:bookmarkEnd w:id="0"/>
      <w:r w:rsidRPr="002C4AD6">
        <w:t>n afectados con tarifas superiores a las tradicionales.</w:t>
      </w:r>
    </w:p>
    <w:p w:rsidR="002C4AD6" w:rsidRPr="002C4AD6" w:rsidRDefault="002C4AD6" w:rsidP="002C4AD6">
      <w:r w:rsidRPr="002C4AD6">
        <w:t xml:space="preserve">Para </w:t>
      </w:r>
      <w:r w:rsidR="00595D9E">
        <w:t>confirmar</w:t>
      </w:r>
      <w:r w:rsidRPr="002C4AD6">
        <w:t xml:space="preserve"> lo antes mencionado, pensemos en una persona natural </w:t>
      </w:r>
      <w:r w:rsidR="005D0576">
        <w:t xml:space="preserve">perteneciente al </w:t>
      </w:r>
      <w:r w:rsidRPr="002C4AD6">
        <w:t xml:space="preserve">régimen simplificado que prestó un servicio de transporte privado de pasajeros, cuyo valor mensual </w:t>
      </w:r>
      <w:r w:rsidR="005D0576">
        <w:t>ascendió</w:t>
      </w:r>
      <w:r w:rsidRPr="002C4AD6">
        <w:t xml:space="preserve"> a $ 6.500.000, que convertidos a la UVT de hoy </w:t>
      </w:r>
      <w:r w:rsidR="00B44904">
        <w:t>resultan</w:t>
      </w:r>
      <w:r w:rsidRPr="002C4AD6">
        <w:t xml:space="preserve"> iguales a 250, lo que significa entonces que</w:t>
      </w:r>
      <w:r w:rsidR="005D0576">
        <w:t>,</w:t>
      </w:r>
      <w:r w:rsidRPr="002C4AD6">
        <w:t xml:space="preserve"> </w:t>
      </w:r>
      <w:r w:rsidR="005D0576">
        <w:t xml:space="preserve">aplicando </w:t>
      </w:r>
      <w:r w:rsidR="009A230D">
        <w:t>al</w:t>
      </w:r>
      <w:r w:rsidR="005D0576">
        <w:t xml:space="preserve"> pago</w:t>
      </w:r>
      <w:r w:rsidRPr="002C4AD6">
        <w:t xml:space="preserve"> la nueva tabla</w:t>
      </w:r>
      <w:r w:rsidR="009A230D">
        <w:t>,</w:t>
      </w:r>
      <w:r w:rsidR="00B44904">
        <w:t xml:space="preserve"> le correspondió</w:t>
      </w:r>
      <w:r w:rsidRPr="002C4AD6">
        <w:t xml:space="preserve"> una tarifa de retención del 6% y no del 1% </w:t>
      </w:r>
      <w:r w:rsidR="00F37DB2">
        <w:t xml:space="preserve">que le hubiere correspondido </w:t>
      </w:r>
      <w:r w:rsidRPr="002C4AD6">
        <w:t xml:space="preserve">si se </w:t>
      </w:r>
      <w:r w:rsidR="00B44904">
        <w:t>hubiese aplicado</w:t>
      </w:r>
      <w:r w:rsidRPr="002C4AD6">
        <w:t xml:space="preserve"> la tarifa tradicional correspondiente. </w:t>
      </w:r>
    </w:p>
    <w:p w:rsidR="002C4AD6" w:rsidRPr="002C4AD6" w:rsidRDefault="002C4AD6" w:rsidP="002C4AD6">
      <w:r w:rsidRPr="002C4AD6">
        <w:t xml:space="preserve">Igual inequidad se daría en el caso de dos personas naturales, una </w:t>
      </w:r>
      <w:r w:rsidR="00F37DB2">
        <w:t xml:space="preserve">del </w:t>
      </w:r>
      <w:r w:rsidRPr="002C4AD6">
        <w:t xml:space="preserve">régimen común y la otra </w:t>
      </w:r>
      <w:r w:rsidR="00F37DB2">
        <w:t xml:space="preserve">del </w:t>
      </w:r>
      <w:r w:rsidRPr="002C4AD6">
        <w:t>régimen simplificado</w:t>
      </w:r>
      <w:r w:rsidR="00F37DB2">
        <w:t>,</w:t>
      </w:r>
      <w:r w:rsidRPr="002C4AD6">
        <w:t xml:space="preserve"> que presten </w:t>
      </w:r>
      <w:r w:rsidR="008F6166">
        <w:t>a</w:t>
      </w:r>
      <w:r w:rsidRPr="002C4AD6">
        <w:t xml:space="preserve"> una misma empresa servicios de arrendamiento de locales comerciales, pues a la primera se aplicaría la tarifa del 3.5% y a la segunda, quizá una mayor</w:t>
      </w:r>
      <w:r w:rsidR="008F6166">
        <w:t xml:space="preserve">; adviértase </w:t>
      </w:r>
      <w:r w:rsidRPr="002C4AD6">
        <w:t>que estamos ante un mismo ingreso e igual concepto.</w:t>
      </w:r>
    </w:p>
    <w:p w:rsidR="002C4AD6" w:rsidRPr="002C4AD6" w:rsidRDefault="00EF6DFE" w:rsidP="002C4AD6">
      <w:r>
        <w:t>Los</w:t>
      </w:r>
      <w:r w:rsidR="002C4AD6" w:rsidRPr="002C4AD6">
        <w:t xml:space="preserve"> casos de inequidad tributaria seguirán presentándose mientras siga</w:t>
      </w:r>
      <w:r>
        <w:t>n</w:t>
      </w:r>
      <w:r w:rsidR="002C4AD6" w:rsidRPr="002C4AD6">
        <w:t xml:space="preserve"> coexistiendo para los trabajadores independientes unas tarifas especiales para unos y otras (las tradicionales) para otros</w:t>
      </w:r>
      <w:r>
        <w:t>.</w:t>
      </w:r>
    </w:p>
    <w:p w:rsidR="002C4AD6" w:rsidRPr="002C4AD6" w:rsidRDefault="002C4AD6" w:rsidP="002C4AD6">
      <w:r w:rsidRPr="002C4AD6">
        <w:t>No obstante, esta nueva medida comparada con la del artículo 173 de la Ley 1450 resulta mucho mejor, en cuanto a que ya no es necesario poner al independiente a que efectúe la confesión de los ingresos que percibe en otras empresas.</w:t>
      </w:r>
    </w:p>
    <w:p w:rsidR="001F0263" w:rsidRPr="00047AF6" w:rsidRDefault="002C4AD6" w:rsidP="002C4AD6">
      <w:pPr>
        <w:jc w:val="right"/>
      </w:pPr>
      <w:r w:rsidRPr="002C4AD6">
        <w:rPr>
          <w:i/>
        </w:rPr>
        <w:t xml:space="preserve">Cesar Evelio </w:t>
      </w:r>
      <w:proofErr w:type="spellStart"/>
      <w:r w:rsidRPr="002C4AD6">
        <w:rPr>
          <w:i/>
        </w:rPr>
        <w:t>Anzola</w:t>
      </w:r>
      <w:proofErr w:type="spellEnd"/>
      <w:r w:rsidRPr="002C4AD6">
        <w:rPr>
          <w:i/>
        </w:rPr>
        <w:t xml:space="preserve"> Aguilar</w:t>
      </w:r>
    </w:p>
    <w:sectPr w:rsidR="001F0263" w:rsidRPr="00047AF6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E9" w:rsidRDefault="00287BE9" w:rsidP="00EE7812">
      <w:pPr>
        <w:spacing w:after="0" w:line="240" w:lineRule="auto"/>
      </w:pPr>
      <w:r>
        <w:separator/>
      </w:r>
    </w:p>
  </w:endnote>
  <w:endnote w:type="continuationSeparator" w:id="0">
    <w:p w:rsidR="00287BE9" w:rsidRDefault="00287BE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E9" w:rsidRDefault="00287BE9" w:rsidP="00EE7812">
      <w:pPr>
        <w:spacing w:after="0" w:line="240" w:lineRule="auto"/>
      </w:pPr>
      <w:r>
        <w:separator/>
      </w:r>
    </w:p>
  </w:footnote>
  <w:footnote w:type="continuationSeparator" w:id="0">
    <w:p w:rsidR="00287BE9" w:rsidRDefault="00287BE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047AF6">
      <w:t>2</w:t>
    </w:r>
    <w:r w:rsidR="009D09BB">
      <w:t xml:space="preserve">, </w:t>
    </w:r>
    <w:r w:rsidR="00E00D55">
      <w:t xml:space="preserve">julio </w:t>
    </w:r>
    <w:r w:rsidR="00047AF6">
      <w:t>30</w:t>
    </w:r>
    <w:r w:rsidR="0005771D">
      <w:t xml:space="preserve"> </w:t>
    </w:r>
    <w:r w:rsidR="0080786C">
      <w:t>de 201</w:t>
    </w:r>
    <w:r w:rsidR="00297D4C">
      <w:t>2</w:t>
    </w:r>
  </w:p>
  <w:p w:rsidR="0046164F" w:rsidRDefault="00287BE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87BE9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90ce5cf1c287ecfd05256f0c008261ee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sp.presidencia.gov.co/Normativa/Decretos/2011/Documents/Septiembre/28/dec359028092011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sp.presidencia.gov.co/Normativa/Leyes/Documents/ley14501606201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Leyes/Documents/ley15272704201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584A-F7CE-4D5A-A4BE-63CD1372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498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2012-07-29T22:33:00Z</dcterms:created>
  <dcterms:modified xsi:type="dcterms:W3CDTF">2012-07-29T22:58:00Z</dcterms:modified>
</cp:coreProperties>
</file>