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FB3CC" w14:textId="67A7A539" w:rsidR="000850AF" w:rsidRPr="000850AF" w:rsidRDefault="000850AF" w:rsidP="000850AF">
      <w:pPr>
        <w:keepNext/>
        <w:framePr w:dropCap="drop" w:lines="3" w:wrap="around" w:vAnchor="text" w:hAnchor="text"/>
        <w:spacing w:after="0" w:line="926" w:lineRule="exact"/>
        <w:textAlignment w:val="baseline"/>
        <w:rPr>
          <w:position w:val="-9"/>
          <w:sz w:val="123"/>
          <w:lang w:val="en-US"/>
        </w:rPr>
      </w:pPr>
      <w:r w:rsidRPr="000850AF">
        <w:rPr>
          <w:position w:val="-9"/>
          <w:sz w:val="123"/>
          <w:lang w:val="en-US"/>
        </w:rPr>
        <w:t>E</w:t>
      </w:r>
    </w:p>
    <w:p w14:paraId="42C49C2C" w14:textId="702F986E" w:rsidR="001B7FFC" w:rsidRPr="007B5E07" w:rsidRDefault="00995E99" w:rsidP="00995E99">
      <w:r w:rsidRPr="000850AF">
        <w:rPr>
          <w:lang w:val="en-US"/>
        </w:rPr>
        <w:t xml:space="preserve">n el artículo de Shevlin Terry, Urcan Oktay &amp; Vasvari Florin P, titulado </w:t>
      </w:r>
      <w:hyperlink r:id="rId8" w:history="1">
        <w:r w:rsidRPr="000850AF">
          <w:rPr>
            <w:rStyle w:val="Hyperlink"/>
            <w:i/>
            <w:iCs/>
            <w:lang w:val="en-US"/>
          </w:rPr>
          <w:t>Corporate Tax Avoidance and Debt Costs</w:t>
        </w:r>
      </w:hyperlink>
      <w:r w:rsidR="000850AF">
        <w:rPr>
          <w:lang w:val="en-US"/>
        </w:rPr>
        <w:t>, publicado por</w:t>
      </w:r>
      <w:r w:rsidRPr="00995E99">
        <w:rPr>
          <w:lang w:val="en-US"/>
        </w:rPr>
        <w:t xml:space="preserve"> </w:t>
      </w:r>
      <w:r w:rsidRPr="000850AF">
        <w:rPr>
          <w:i/>
          <w:iCs/>
          <w:lang w:val="en-US"/>
        </w:rPr>
        <w:t>Journal of the American Taxation Association</w:t>
      </w:r>
      <w:r w:rsidR="000850AF">
        <w:rPr>
          <w:lang w:val="en-US"/>
        </w:rPr>
        <w:t>,</w:t>
      </w:r>
      <w:r w:rsidRPr="00995E99">
        <w:rPr>
          <w:lang w:val="en-US"/>
        </w:rPr>
        <w:t xml:space="preserve"> 2020;42(2):117-143</w:t>
      </w:r>
      <w:r w:rsidR="000850AF">
        <w:rPr>
          <w:lang w:val="en-US"/>
        </w:rPr>
        <w:t xml:space="preserve"> se concluye:</w:t>
      </w:r>
      <w:r w:rsidRPr="00995E99">
        <w:rPr>
          <w:lang w:val="en-US"/>
        </w:rPr>
        <w:t xml:space="preserve"> “</w:t>
      </w:r>
      <w:r>
        <w:rPr>
          <w:lang w:val="en-US"/>
        </w:rPr>
        <w:t xml:space="preserve">(…) </w:t>
      </w:r>
      <w:r w:rsidRPr="00995E99">
        <w:rPr>
          <w:i/>
          <w:iCs/>
          <w:lang w:val="en-US"/>
        </w:rPr>
        <w:t xml:space="preserve">We document that firms engaging in corporate tax avoidance activities experience significantly lower future pre-tax cash flow levels, greater future pre-tax cash flow volatility, and, to a lesser extent, lower information quality. We use a path analysis to estimate the magnitude of the effects of these three channels through which tax avoidance impacts bond offering yields and bank loan spreads. For the bond sample, we find that corporate tax avoidance has both direct and indirect effects on bond offering yields, with the main indirect effect arising through lower future pre-tax cash flow levels and higher future pre-tax cash flow volatility. Information quality appears to have small, indirect effects. For the bank loan sample, we find that our three mediating (path) variables, future cash flow levels, cash volatility, and information quality, have little effect. Additional cross-sectional analyses indicate that tax avoidance only increases the cost of bonds, but not bank loans, when firms' management has incentives to expropriate creditors' wealth and when the probability of an IRS audit is high. These cross-sectional results suggest that banks can mitigate information asymmetry more effectively, given their access to borrowers' private information and their close monitoring activities. ―Our research contributes to the emerging stream of literature that examines how lenders view corporate tax avoidance activities. Our results suggest that the impact of tax </w:t>
      </w:r>
      <w:r w:rsidRPr="00995E99">
        <w:rPr>
          <w:i/>
          <w:iCs/>
          <w:lang w:val="en-US"/>
        </w:rPr>
        <w:t xml:space="preserve">avoidance on bond offering yields (but not bank spreads) is mediated by future cash flow concerns as opposed to information quality. </w:t>
      </w:r>
      <w:r w:rsidRPr="007B5E07">
        <w:t>(…)”</w:t>
      </w:r>
    </w:p>
    <w:p w14:paraId="43F90E8C" w14:textId="00D9C0F1" w:rsidR="000850AF" w:rsidRDefault="00396FE5" w:rsidP="00995E99">
      <w:r w:rsidRPr="00396FE5">
        <w:t xml:space="preserve">A veces olvidamos que </w:t>
      </w:r>
      <w:r>
        <w:t>el reconocimiento sobre la base de lo que en Colombia llamamos la causación no es el único ni el más efectivo criterio en todos los casos. Muchos pasamos rápidamente y por encima del estado de flujos de efectivo, especialmente porque la mayoría son preparados por el método indirecto. Sin embargo, todos los empresarios tienen clar</w:t>
      </w:r>
      <w:r w:rsidR="000D0913">
        <w:t>a</w:t>
      </w:r>
      <w:r>
        <w:t xml:space="preserve"> la importancia de la liquidez. </w:t>
      </w:r>
      <w:r w:rsidRPr="00396FE5">
        <w:t xml:space="preserve">Dicen que los mejores negocios son los que se hacen </w:t>
      </w:r>
      <w:r w:rsidR="000D0913">
        <w:t xml:space="preserve">con </w:t>
      </w:r>
      <w:r w:rsidRPr="00396FE5">
        <w:t>la cédula</w:t>
      </w:r>
      <w:r>
        <w:t>, es decir, sin tener que poner dinero propio, como cuando se compra a crédito y se vende rápidamente en un contado y en efectivo.</w:t>
      </w:r>
    </w:p>
    <w:p w14:paraId="678367F4" w14:textId="7005D542" w:rsidR="00396FE5" w:rsidRDefault="00396FE5" w:rsidP="00995E99">
      <w:r>
        <w:t>Durante muchísimos años nuestros modelos contables han desconocido las utilidades provenientes de la exposición a la inflación o de la tenencia, limitándose a reconocer solamente el mayor valor generado por las transacciones. Esto ha permitido a muchas personas enriquecerse, al tiempo que luego los ha llevado a la dilución del precio mediante subescrituraciones o subfacturaciones. Claro que el que esconde ingresos termina ocultando egresos.</w:t>
      </w:r>
    </w:p>
    <w:p w14:paraId="2AD33299" w14:textId="0A54ED3E" w:rsidR="00396FE5" w:rsidRDefault="00396FE5" w:rsidP="00995E99">
      <w:r>
        <w:t>Quien reflexiona sobre estos temas encuentra por qué muchos asesores consideran muy importante los impuestos diferidos</w:t>
      </w:r>
      <w:r w:rsidR="006044AB">
        <w:t>. Estos nos muestran flujos anticipados o demorados en materia del pago de impuestos y su efecto gravable.</w:t>
      </w:r>
    </w:p>
    <w:p w14:paraId="771E11FA" w14:textId="5526B6FE" w:rsidR="006044AB" w:rsidRPr="00396FE5" w:rsidRDefault="006044AB" w:rsidP="006044AB">
      <w:pPr>
        <w:jc w:val="right"/>
        <w:rPr>
          <w:u w:val="double"/>
        </w:rPr>
      </w:pPr>
      <w:r w:rsidRPr="003C4ED4">
        <w:rPr>
          <w:i/>
          <w:iCs/>
        </w:rPr>
        <w:t>Hernando Bermúdez Gómez</w:t>
      </w:r>
    </w:p>
    <w:sectPr w:rsidR="006044AB" w:rsidRPr="00396FE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8491C" w14:textId="77777777" w:rsidR="00E32561" w:rsidRDefault="00E32561" w:rsidP="00EE7812">
      <w:pPr>
        <w:spacing w:after="0" w:line="240" w:lineRule="auto"/>
      </w:pPr>
      <w:r>
        <w:separator/>
      </w:r>
    </w:p>
  </w:endnote>
  <w:endnote w:type="continuationSeparator" w:id="0">
    <w:p w14:paraId="339824A1" w14:textId="77777777" w:rsidR="00E32561" w:rsidRDefault="00E325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5D60C" w14:textId="77777777" w:rsidR="00E32561" w:rsidRDefault="00E32561" w:rsidP="00EE7812">
      <w:pPr>
        <w:spacing w:after="0" w:line="240" w:lineRule="auto"/>
      </w:pPr>
      <w:r>
        <w:separator/>
      </w:r>
    </w:p>
  </w:footnote>
  <w:footnote w:type="continuationSeparator" w:id="0">
    <w:p w14:paraId="1251C924" w14:textId="77777777" w:rsidR="00E32561" w:rsidRDefault="00E325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1F754E4D" w:rsidR="00934244" w:rsidRDefault="0000261B" w:rsidP="00613BC8">
    <w:pPr>
      <w:pStyle w:val="Header"/>
      <w:tabs>
        <w:tab w:val="left" w:pos="2580"/>
        <w:tab w:val="left" w:pos="2985"/>
      </w:tabs>
      <w:spacing w:line="276" w:lineRule="auto"/>
      <w:jc w:val="right"/>
    </w:pPr>
    <w:r>
      <w:t>Número 5</w:t>
    </w:r>
    <w:r w:rsidR="00281A48">
      <w:t>5</w:t>
    </w:r>
    <w:r w:rsidR="00DA340C">
      <w:t>2</w:t>
    </w:r>
    <w:r w:rsidR="00995E99">
      <w:t>6</w:t>
    </w:r>
    <w:r>
      <w:t xml:space="preserve">, </w:t>
    </w:r>
    <w:r w:rsidR="00DB5AB9">
      <w:t>21</w:t>
    </w:r>
    <w:r w:rsidR="00C8278F">
      <w:t xml:space="preserve"> de diciembre</w:t>
    </w:r>
    <w:r>
      <w:t xml:space="preserve"> de 2020</w:t>
    </w:r>
  </w:p>
  <w:p w14:paraId="29566F03" w14:textId="486D5996" w:rsidR="0000261B" w:rsidRDefault="00E3256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07"/>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CB"/>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61"/>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atax-526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2020-12-20T16:37:00Z</dcterms:created>
  <dcterms:modified xsi:type="dcterms:W3CDTF">2020-12-20T16:37:00Z</dcterms:modified>
</cp:coreProperties>
</file>