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A5" w:rsidRPr="00C85FA5" w:rsidRDefault="00C85FA5" w:rsidP="00C85FA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  <w:lang w:val="en-US"/>
        </w:rPr>
      </w:pPr>
      <w:r w:rsidRPr="00C85FA5">
        <w:rPr>
          <w:rFonts w:cs="Calibri"/>
          <w:position w:val="-8"/>
          <w:sz w:val="123"/>
          <w:lang w:val="en-US"/>
        </w:rPr>
        <w:t>R</w:t>
      </w:r>
    </w:p>
    <w:p w:rsidR="00C85FA5" w:rsidRPr="00C85FA5" w:rsidRDefault="00C85FA5" w:rsidP="00C85FA5">
      <w:pPr>
        <w:rPr>
          <w:lang w:val="es-ES"/>
        </w:rPr>
      </w:pPr>
      <w:r w:rsidRPr="00C85FA5">
        <w:rPr>
          <w:lang w:val="en-US"/>
        </w:rPr>
        <w:t xml:space="preserve">ecientemente </w:t>
      </w:r>
      <w:r w:rsidR="00223656">
        <w:rPr>
          <w:lang w:val="en-US"/>
        </w:rPr>
        <w:t>la</w:t>
      </w:r>
      <w:r w:rsidRPr="00C85FA5">
        <w:rPr>
          <w:lang w:val="en-US"/>
        </w:rPr>
        <w:t xml:space="preserve"> </w:t>
      </w:r>
      <w:hyperlink r:id="rId9" w:tgtFrame="_blank" w:history="1">
        <w:r w:rsidRPr="00D549E7">
          <w:rPr>
            <w:rStyle w:val="Hyperlink"/>
            <w:bCs/>
            <w:i/>
            <w:lang w:val="en-US"/>
          </w:rPr>
          <w:t>Pathways Commission on Acco</w:t>
        </w:r>
        <w:r w:rsidRPr="00D549E7">
          <w:rPr>
            <w:rStyle w:val="Hyperlink"/>
            <w:bCs/>
            <w:i/>
            <w:lang w:val="en-US"/>
          </w:rPr>
          <w:t>u</w:t>
        </w:r>
        <w:r w:rsidRPr="00D549E7">
          <w:rPr>
            <w:rStyle w:val="Hyperlink"/>
            <w:bCs/>
            <w:i/>
            <w:lang w:val="en-US"/>
          </w:rPr>
          <w:t>nting Higher Educ</w:t>
        </w:r>
        <w:r w:rsidRPr="00D549E7">
          <w:rPr>
            <w:rStyle w:val="Hyperlink"/>
            <w:bCs/>
            <w:i/>
            <w:lang w:val="en-US"/>
          </w:rPr>
          <w:t>a</w:t>
        </w:r>
        <w:r w:rsidRPr="00D549E7">
          <w:rPr>
            <w:rStyle w:val="Hyperlink"/>
            <w:bCs/>
            <w:i/>
            <w:lang w:val="en-US"/>
          </w:rPr>
          <w:t>tion</w:t>
        </w:r>
      </w:hyperlink>
      <w:r w:rsidRPr="00C85FA5">
        <w:rPr>
          <w:lang w:val="en-US"/>
        </w:rPr>
        <w:t xml:space="preserve"> </w:t>
      </w:r>
      <w:proofErr w:type="spellStart"/>
      <w:r w:rsidRPr="00C85FA5">
        <w:rPr>
          <w:lang w:val="en-US"/>
        </w:rPr>
        <w:t>emitió</w:t>
      </w:r>
      <w:proofErr w:type="spellEnd"/>
      <w:r w:rsidRPr="00C85FA5">
        <w:rPr>
          <w:lang w:val="en-US"/>
        </w:rPr>
        <w:t xml:space="preserve"> </w:t>
      </w:r>
      <w:proofErr w:type="spellStart"/>
      <w:r w:rsidRPr="00C85FA5">
        <w:rPr>
          <w:lang w:val="en-US"/>
        </w:rPr>
        <w:t>su</w:t>
      </w:r>
      <w:proofErr w:type="spellEnd"/>
      <w:r w:rsidRPr="00C85FA5">
        <w:rPr>
          <w:lang w:val="en-US"/>
        </w:rPr>
        <w:t xml:space="preserve"> </w:t>
      </w:r>
      <w:proofErr w:type="spellStart"/>
      <w:r w:rsidRPr="00C85FA5">
        <w:rPr>
          <w:lang w:val="en-US"/>
        </w:rPr>
        <w:t>reporte</w:t>
      </w:r>
      <w:proofErr w:type="spellEnd"/>
      <w:r w:rsidRPr="00C85FA5">
        <w:rPr>
          <w:lang w:val="en-US"/>
        </w:rPr>
        <w:t xml:space="preserve"> </w:t>
      </w:r>
      <w:r w:rsidRPr="00C85FA5">
        <w:rPr>
          <w:i/>
          <w:lang w:val="en-US"/>
        </w:rPr>
        <w:t>"</w:t>
      </w:r>
      <w:hyperlink r:id="rId10" w:tgtFrame="_blank" w:history="1">
        <w:r w:rsidRPr="00A27DCE">
          <w:rPr>
            <w:rStyle w:val="Hyperlink"/>
            <w:bCs/>
            <w:i/>
            <w:lang w:val="en-US"/>
          </w:rPr>
          <w:t>Charting a National Str</w:t>
        </w:r>
        <w:r w:rsidRPr="00A27DCE">
          <w:rPr>
            <w:rStyle w:val="Hyperlink"/>
            <w:bCs/>
            <w:i/>
            <w:lang w:val="en-US"/>
          </w:rPr>
          <w:t>a</w:t>
        </w:r>
        <w:r w:rsidRPr="00A27DCE">
          <w:rPr>
            <w:rStyle w:val="Hyperlink"/>
            <w:bCs/>
            <w:i/>
            <w:lang w:val="en-US"/>
          </w:rPr>
          <w:t>tegy for the Next Generation of Accountants</w:t>
        </w:r>
      </w:hyperlink>
      <w:r w:rsidRPr="00C85FA5">
        <w:rPr>
          <w:i/>
          <w:lang w:val="en-US"/>
        </w:rPr>
        <w:t>,"</w:t>
      </w:r>
      <w:r w:rsidRPr="00C85FA5">
        <w:rPr>
          <w:lang w:val="en-US"/>
        </w:rPr>
        <w:t xml:space="preserve"> el </w:t>
      </w:r>
      <w:proofErr w:type="spellStart"/>
      <w:r w:rsidRPr="00C85FA5">
        <w:rPr>
          <w:lang w:val="en-US"/>
        </w:rPr>
        <w:t>cual</w:t>
      </w:r>
      <w:proofErr w:type="spellEnd"/>
      <w:r w:rsidRPr="00C85FA5">
        <w:rPr>
          <w:lang w:val="en-US"/>
        </w:rPr>
        <w:t xml:space="preserve"> </w:t>
      </w:r>
      <w:proofErr w:type="spellStart"/>
      <w:r w:rsidRPr="00C85FA5">
        <w:rPr>
          <w:lang w:val="en-US"/>
        </w:rPr>
        <w:t>contiene</w:t>
      </w:r>
      <w:proofErr w:type="spellEnd"/>
      <w:r w:rsidRPr="00C85FA5">
        <w:rPr>
          <w:lang w:val="en-US"/>
        </w:rPr>
        <w:t xml:space="preserve"> 7 </w:t>
      </w:r>
      <w:proofErr w:type="spellStart"/>
      <w:r w:rsidRPr="00C85FA5">
        <w:rPr>
          <w:lang w:val="en-US"/>
        </w:rPr>
        <w:t>recomendaciones</w:t>
      </w:r>
      <w:proofErr w:type="spellEnd"/>
      <w:r w:rsidRPr="00C85FA5">
        <w:rPr>
          <w:lang w:val="en-US"/>
        </w:rPr>
        <w:t xml:space="preserve"> </w:t>
      </w:r>
      <w:proofErr w:type="spellStart"/>
      <w:r w:rsidRPr="00C85FA5">
        <w:rPr>
          <w:lang w:val="en-US"/>
        </w:rPr>
        <w:t>para</w:t>
      </w:r>
      <w:proofErr w:type="spellEnd"/>
      <w:r w:rsidRPr="00C85FA5">
        <w:rPr>
          <w:lang w:val="en-US"/>
        </w:rPr>
        <w:t xml:space="preserve"> </w:t>
      </w:r>
      <w:proofErr w:type="spellStart"/>
      <w:r w:rsidRPr="00C85FA5">
        <w:rPr>
          <w:lang w:val="en-US"/>
        </w:rPr>
        <w:t>modernizar</w:t>
      </w:r>
      <w:proofErr w:type="spellEnd"/>
      <w:r w:rsidRPr="00C85FA5">
        <w:rPr>
          <w:lang w:val="en-US"/>
        </w:rPr>
        <w:t xml:space="preserve"> el </w:t>
      </w:r>
      <w:proofErr w:type="spellStart"/>
      <w:r w:rsidRPr="00C85FA5">
        <w:rPr>
          <w:lang w:val="en-US"/>
        </w:rPr>
        <w:t>estudio</w:t>
      </w:r>
      <w:proofErr w:type="spellEnd"/>
      <w:r w:rsidRPr="00C85FA5">
        <w:rPr>
          <w:lang w:val="en-US"/>
        </w:rPr>
        <w:t xml:space="preserve"> de la </w:t>
      </w:r>
      <w:proofErr w:type="spellStart"/>
      <w:r w:rsidRPr="00C85FA5">
        <w:rPr>
          <w:lang w:val="en-US"/>
        </w:rPr>
        <w:t>contabilidad</w:t>
      </w:r>
      <w:proofErr w:type="spellEnd"/>
      <w:r w:rsidRPr="00C85FA5">
        <w:rPr>
          <w:lang w:val="en-US"/>
        </w:rPr>
        <w:t xml:space="preserve">. </w:t>
      </w:r>
      <w:r w:rsidRPr="00C85FA5">
        <w:rPr>
          <w:lang w:val="es-ES"/>
        </w:rPr>
        <w:t>El punto es claro: el mundo cambia y la academia contable debe cambiar con él. Estas recomendaciones están dirigidas tanto a la educación en contabilidad como a la comunidad profesional. Aquí van sus recomendaciones tomadas textualmente del reporte (me permito hacer la traducción del mismo para facilitar su visibilidad, aunque es mejor su lectura en el idioma original):</w:t>
      </w:r>
    </w:p>
    <w:p w:rsidR="00C85FA5" w:rsidRPr="00C85FA5" w:rsidRDefault="003E595B" w:rsidP="00C85FA5">
      <w:pPr>
        <w:rPr>
          <w:lang w:val="es-ES"/>
        </w:rPr>
      </w:pPr>
      <w:r>
        <w:rPr>
          <w:lang w:val="es-ES"/>
        </w:rPr>
        <w:t>“</w:t>
      </w:r>
      <w:r w:rsidR="00C85FA5" w:rsidRPr="00C85FA5">
        <w:rPr>
          <w:lang w:val="es-ES"/>
        </w:rPr>
        <w:t>No. 1: Construir una profesión con altos estándares para el futuro con una integración decidida de investigación contable, educación y práctica para estudiantes, profesionales de la contabilidad y educadores.</w:t>
      </w:r>
    </w:p>
    <w:p w:rsidR="00C85FA5" w:rsidRPr="00C85FA5" w:rsidRDefault="00C85FA5" w:rsidP="00C85FA5">
      <w:pPr>
        <w:rPr>
          <w:lang w:val="es-ES"/>
        </w:rPr>
      </w:pPr>
      <w:r w:rsidRPr="00C85FA5">
        <w:rPr>
          <w:lang w:val="es-ES"/>
        </w:rPr>
        <w:t>No. 2: Desarrollar mecanismos para satisfacer la demanda futura para la academia abriendo la educación a doctorados a través de pedagogías flexibles en los programas existentes y explorando vías alternativas a los niveles más altos que se alineen con las misiones institucionales y de enseñanza de la contabilidad y los objetivos de investigación.</w:t>
      </w:r>
    </w:p>
    <w:p w:rsidR="00C85FA5" w:rsidRPr="00C85FA5" w:rsidRDefault="00C85FA5" w:rsidP="00C85FA5">
      <w:pPr>
        <w:rPr>
          <w:lang w:val="es-ES"/>
        </w:rPr>
      </w:pPr>
      <w:r w:rsidRPr="00C85FA5">
        <w:rPr>
          <w:lang w:val="es-ES"/>
        </w:rPr>
        <w:t>No. 3: Reformar la enseñanza de la contabilidad para que la enseñanza sea respetada y recompensad</w:t>
      </w:r>
      <w:r w:rsidR="00E10CF9">
        <w:rPr>
          <w:lang w:val="es-ES"/>
        </w:rPr>
        <w:t>a</w:t>
      </w:r>
      <w:r w:rsidRPr="00C85FA5">
        <w:rPr>
          <w:lang w:val="es-ES"/>
        </w:rPr>
        <w:t xml:space="preserve"> como un componente fundamental en el logro de la misión de cada institución.</w:t>
      </w:r>
    </w:p>
    <w:p w:rsidR="00C85FA5" w:rsidRPr="00C85FA5" w:rsidRDefault="00C85FA5" w:rsidP="00C85FA5">
      <w:pPr>
        <w:rPr>
          <w:lang w:val="es-ES"/>
        </w:rPr>
      </w:pPr>
      <w:r w:rsidRPr="00C85FA5">
        <w:rPr>
          <w:lang w:val="es-ES"/>
        </w:rPr>
        <w:lastRenderedPageBreak/>
        <w:t>No. 4: Desarrollar modelos de plan de estudios, comprometer recursos de aprendizaje y mecanismos para compartirlos fácilmente, así como incrementar las oportunidades de formación de la academia en apoyo de sostenimiento de un plan de estudios sólido.</w:t>
      </w:r>
    </w:p>
    <w:p w:rsidR="00C85FA5" w:rsidRPr="00C85FA5" w:rsidRDefault="00C85FA5" w:rsidP="00C85FA5">
      <w:pPr>
        <w:rPr>
          <w:lang w:val="es-ES"/>
        </w:rPr>
      </w:pPr>
      <w:r w:rsidRPr="00C85FA5">
        <w:rPr>
          <w:lang w:val="es-ES"/>
        </w:rPr>
        <w:t>No. 5: Mejorar la capacidad de atracción de participantes diversos y de alto-potencial a la profesión.</w:t>
      </w:r>
    </w:p>
    <w:p w:rsidR="00C85FA5" w:rsidRPr="00C85FA5" w:rsidRDefault="00C85FA5" w:rsidP="00C85FA5">
      <w:pPr>
        <w:rPr>
          <w:lang w:val="es-ES"/>
        </w:rPr>
      </w:pPr>
      <w:r w:rsidRPr="00C85FA5">
        <w:rPr>
          <w:lang w:val="es-ES"/>
        </w:rPr>
        <w:t>No. 6: Crear mecanismos para recolectar, analizar y difundir información sobre los mercados actuales y futuros de profesionales de la contabilidad y de facultades de contabilidad.</w:t>
      </w:r>
    </w:p>
    <w:p w:rsidR="00C85FA5" w:rsidRPr="00C85FA5" w:rsidRDefault="00C85FA5" w:rsidP="00C85FA5">
      <w:pPr>
        <w:rPr>
          <w:lang w:val="es-ES"/>
        </w:rPr>
      </w:pPr>
      <w:r w:rsidRPr="00C85FA5">
        <w:rPr>
          <w:lang w:val="es-ES"/>
        </w:rPr>
        <w:t>No. 7: Convertir pensamientos  en acciones mediante el establecimiento de un proceso de implementación para hacer frente a estas y futuras recomendaciones mediante la creación de estructuras y mecanismos para la transición de los esfuerzos del cambio de la contabilidad de acontecimientos intermitentes a una forma más continua, proceso sostenible.</w:t>
      </w:r>
      <w:r w:rsidR="003E595B">
        <w:rPr>
          <w:lang w:val="es-ES"/>
        </w:rPr>
        <w:t>”</w:t>
      </w:r>
      <w:bookmarkStart w:id="0" w:name="_GoBack"/>
      <w:bookmarkEnd w:id="0"/>
    </w:p>
    <w:p w:rsidR="00C85FA5" w:rsidRPr="00C85FA5" w:rsidRDefault="00C85FA5" w:rsidP="00C85FA5">
      <w:pPr>
        <w:rPr>
          <w:lang w:val="es-ES"/>
        </w:rPr>
      </w:pPr>
      <w:r w:rsidRPr="00C85FA5">
        <w:rPr>
          <w:lang w:val="es-ES"/>
        </w:rPr>
        <w:t xml:space="preserve">Tan importantes son estas recomendaciones como los impedimentos que menciona el estudio, así parezcan insuperables por momentos. </w:t>
      </w:r>
    </w:p>
    <w:p w:rsidR="00C85FA5" w:rsidRPr="00C85FA5" w:rsidRDefault="00C85FA5" w:rsidP="00C85FA5">
      <w:pPr>
        <w:rPr>
          <w:i/>
          <w:lang w:val="en-US"/>
        </w:rPr>
      </w:pPr>
      <w:r w:rsidRPr="00C85FA5">
        <w:rPr>
          <w:i/>
          <w:lang w:val="en-US"/>
        </w:rPr>
        <w:t xml:space="preserve">“Doing nothing because change may seem too difficult or dismissing a recommendation because it is not worded or focused exactly right should not be an acceptable response.”  </w:t>
      </w:r>
    </w:p>
    <w:p w:rsidR="00C85FA5" w:rsidRPr="00C85FA5" w:rsidRDefault="00C85FA5" w:rsidP="00C85FA5">
      <w:pPr>
        <w:rPr>
          <w:i/>
          <w:lang w:val="es-ES"/>
        </w:rPr>
      </w:pPr>
      <w:r w:rsidRPr="00C85FA5">
        <w:rPr>
          <w:lang w:val="es-ES"/>
        </w:rPr>
        <w:t>Así como existe el marketing experiencial también existe el “aprendizaje experiencial”.</w:t>
      </w:r>
    </w:p>
    <w:p w:rsidR="007A492D" w:rsidRPr="00E941A2" w:rsidRDefault="00C85FA5" w:rsidP="00C85FA5">
      <w:pPr>
        <w:jc w:val="right"/>
      </w:pPr>
      <w:r w:rsidRPr="00C85FA5">
        <w:rPr>
          <w:i/>
        </w:rPr>
        <w:t>Luis Eduardo Olaya A</w:t>
      </w:r>
      <w:r>
        <w:rPr>
          <w:i/>
        </w:rPr>
        <w:t>rboleda</w:t>
      </w:r>
      <w:r w:rsidRPr="00C85FA5">
        <w:rPr>
          <w:i/>
        </w:rPr>
        <w:t xml:space="preserve">, PMP </w:t>
      </w:r>
    </w:p>
    <w:sectPr w:rsidR="007A492D" w:rsidRPr="00E941A2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28" w:rsidRDefault="00377F28" w:rsidP="00EE7812">
      <w:pPr>
        <w:spacing w:after="0" w:line="240" w:lineRule="auto"/>
      </w:pPr>
      <w:r>
        <w:separator/>
      </w:r>
    </w:p>
  </w:endnote>
  <w:endnote w:type="continuationSeparator" w:id="0">
    <w:p w:rsidR="00377F28" w:rsidRDefault="00377F2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28" w:rsidRDefault="00377F28" w:rsidP="00EE7812">
      <w:pPr>
        <w:spacing w:after="0" w:line="240" w:lineRule="auto"/>
      </w:pPr>
      <w:r>
        <w:separator/>
      </w:r>
    </w:p>
  </w:footnote>
  <w:footnote w:type="continuationSeparator" w:id="0">
    <w:p w:rsidR="00377F28" w:rsidRDefault="00377F2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C26FC">
      <w:t>5</w:t>
    </w:r>
    <w:r w:rsidR="00E941A2">
      <w:t>9</w:t>
    </w:r>
    <w:r w:rsidR="009D09BB">
      <w:t xml:space="preserve">, </w:t>
    </w:r>
    <w:r w:rsidR="00A84218">
      <w:t>agosto</w:t>
    </w:r>
    <w:r w:rsidR="00E00D55">
      <w:t xml:space="preserve"> </w:t>
    </w:r>
    <w:r w:rsidR="00E941A2">
      <w:t>13</w:t>
    </w:r>
    <w:r w:rsidR="0005771D">
      <w:t xml:space="preserve"> </w:t>
    </w:r>
    <w:r w:rsidR="0080786C">
      <w:t>de 201</w:t>
    </w:r>
    <w:r w:rsidR="00297D4C">
      <w:t>2</w:t>
    </w:r>
  </w:p>
  <w:p w:rsidR="0046164F" w:rsidRDefault="00377F2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77F28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ommons.aaahq.org/files/0b14318188/Pathways_Commission_Final_Report_Complet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cpa.org/interestareas/accountingeducation/newsandpublications/pages/pathwayscommissio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AC84-2E80-47B7-B994-477CCA5F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2012-08-12T21:59:00Z</dcterms:created>
  <dcterms:modified xsi:type="dcterms:W3CDTF">2012-08-12T22:08:00Z</dcterms:modified>
</cp:coreProperties>
</file>