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2E" w:rsidRPr="00153C2E" w:rsidRDefault="00153C2E" w:rsidP="00153C2E">
      <w:pPr>
        <w:keepNext/>
        <w:framePr w:dropCap="drop" w:lines="3" w:wrap="around" w:vAnchor="text" w:hAnchor="text"/>
        <w:spacing w:after="0" w:line="926" w:lineRule="exact"/>
        <w:textAlignment w:val="baseline"/>
        <w:rPr>
          <w:rFonts w:cs="Calibri"/>
          <w:position w:val="-9"/>
          <w:sz w:val="123"/>
          <w:lang w:val="es-AR"/>
        </w:rPr>
      </w:pPr>
      <w:r w:rsidRPr="00153C2E">
        <w:rPr>
          <w:rFonts w:cs="Calibri"/>
          <w:position w:val="-9"/>
          <w:sz w:val="123"/>
          <w:lang w:val="es-AR"/>
        </w:rPr>
        <w:t>E</w:t>
      </w:r>
    </w:p>
    <w:p w:rsidR="00153C2E" w:rsidRPr="00153C2E" w:rsidRDefault="00153C2E" w:rsidP="00153C2E">
      <w:pPr>
        <w:rPr>
          <w:lang w:val="es-AR"/>
        </w:rPr>
      </w:pPr>
      <w:r w:rsidRPr="00153C2E">
        <w:rPr>
          <w:lang w:val="es-AR"/>
        </w:rPr>
        <w:t xml:space="preserve">n </w:t>
      </w:r>
      <w:r w:rsidR="00BA61BB">
        <w:rPr>
          <w:lang w:val="es-AR"/>
        </w:rPr>
        <w:t>junio de 2012 el IASB publicó</w:t>
      </w:r>
      <w:r w:rsidRPr="00153C2E">
        <w:rPr>
          <w:lang w:val="es-AR"/>
        </w:rPr>
        <w:t xml:space="preserve"> </w:t>
      </w:r>
      <w:r w:rsidR="00746B09">
        <w:rPr>
          <w:lang w:val="es-AR"/>
        </w:rPr>
        <w:t>un</w:t>
      </w:r>
      <w:r w:rsidRPr="00153C2E">
        <w:rPr>
          <w:lang w:val="es-AR"/>
        </w:rPr>
        <w:t xml:space="preserve"> </w:t>
      </w:r>
      <w:hyperlink r:id="rId9" w:history="1">
        <w:r w:rsidRPr="00B56E62">
          <w:rPr>
            <w:rStyle w:val="Hyperlink"/>
            <w:lang w:val="es-AR"/>
          </w:rPr>
          <w:t>docum</w:t>
        </w:r>
        <w:r w:rsidRPr="00B56E62">
          <w:rPr>
            <w:rStyle w:val="Hyperlink"/>
            <w:lang w:val="es-AR"/>
          </w:rPr>
          <w:t>e</w:t>
        </w:r>
        <w:r w:rsidRPr="00B56E62">
          <w:rPr>
            <w:rStyle w:val="Hyperlink"/>
            <w:lang w:val="es-AR"/>
          </w:rPr>
          <w:t>nto</w:t>
        </w:r>
      </w:hyperlink>
      <w:r w:rsidRPr="00153C2E">
        <w:rPr>
          <w:lang w:val="es-AR"/>
        </w:rPr>
        <w:t xml:space="preserve"> </w:t>
      </w:r>
      <w:r w:rsidR="00746B09">
        <w:rPr>
          <w:lang w:val="es-AR"/>
        </w:rPr>
        <w:t>sobre la</w:t>
      </w:r>
      <w:r w:rsidRPr="00153C2E">
        <w:rPr>
          <w:lang w:val="es-AR"/>
        </w:rPr>
        <w:t xml:space="preserve"> </w:t>
      </w:r>
      <w:r w:rsidRPr="00153C2E">
        <w:rPr>
          <w:bCs/>
          <w:lang w:val="es-AR"/>
        </w:rPr>
        <w:t>revisión integral de las NIIF para PYMES</w:t>
      </w:r>
      <w:r w:rsidR="00BA61BB">
        <w:rPr>
          <w:bCs/>
          <w:lang w:val="es-AR"/>
        </w:rPr>
        <w:t>. C</w:t>
      </w:r>
      <w:r w:rsidRPr="00153C2E">
        <w:rPr>
          <w:bCs/>
          <w:lang w:val="es-AR"/>
        </w:rPr>
        <w:t>omo antecedente tenemos que el Consejo de Normas Internacionales de Contabilidad (IASB) emitió la Norma Internacional de Información Financiera (NIIF) para Pequeñas y Medianas Entidades (PYMES) (NIIF para las PYMES) en julio de 2009. En ese momento se estableció un plan para emprender una pri</w:t>
      </w:r>
      <w:r w:rsidR="00E82052">
        <w:rPr>
          <w:bCs/>
          <w:lang w:val="es-AR"/>
        </w:rPr>
        <w:t>mera revisión integral de esta n</w:t>
      </w:r>
      <w:r w:rsidRPr="00153C2E">
        <w:rPr>
          <w:bCs/>
          <w:lang w:val="es-AR"/>
        </w:rPr>
        <w:t>orma</w:t>
      </w:r>
      <w:r w:rsidR="00D572FC">
        <w:rPr>
          <w:bCs/>
          <w:lang w:val="es-AR"/>
        </w:rPr>
        <w:t>,</w:t>
      </w:r>
      <w:r w:rsidRPr="00153C2E">
        <w:rPr>
          <w:bCs/>
          <w:lang w:val="es-AR"/>
        </w:rPr>
        <w:t xml:space="preserve"> que le permita al IASB la evaluación de los primeros dos años de experiencias de las entidades que hayan tenido que implementarla y considerar si existen necesidades de enmiendas. Las compañías han usado la NIIF para las PYMES en 2010 y 2011. Este </w:t>
      </w:r>
      <w:r w:rsidRPr="00153C2E">
        <w:rPr>
          <w:lang w:val="es-AR"/>
        </w:rPr>
        <w:t>documento es el primer escrito de consulta que el IASB emite en el marco de su primera revisión integral de la NIIF para las PYMES</w:t>
      </w:r>
      <w:r w:rsidR="00B56E62">
        <w:rPr>
          <w:lang w:val="es-AR"/>
        </w:rPr>
        <w:t>.</w:t>
      </w:r>
      <w:r w:rsidR="00D572FC">
        <w:rPr>
          <w:lang w:val="es-AR"/>
        </w:rPr>
        <w:t xml:space="preserve"> </w:t>
      </w:r>
    </w:p>
    <w:p w:rsidR="00153C2E" w:rsidRPr="00153C2E" w:rsidRDefault="00CF023C" w:rsidP="00153C2E">
      <w:pPr>
        <w:rPr>
          <w:u w:val="single"/>
          <w:lang w:val="es-AR"/>
        </w:rPr>
      </w:pPr>
      <w:r>
        <w:rPr>
          <w:bCs/>
          <w:lang w:val="es-AR"/>
        </w:rPr>
        <w:t>¿</w:t>
      </w:r>
      <w:r w:rsidR="00153C2E" w:rsidRPr="00CF023C">
        <w:rPr>
          <w:bCs/>
          <w:lang w:val="es-AR"/>
        </w:rPr>
        <w:t>Quién efectuará el proceso de revisión?</w:t>
      </w:r>
      <w:r>
        <w:rPr>
          <w:bCs/>
          <w:lang w:val="es-AR"/>
        </w:rPr>
        <w:t xml:space="preserve"> </w:t>
      </w:r>
      <w:r w:rsidR="00153C2E" w:rsidRPr="00153C2E">
        <w:rPr>
          <w:bCs/>
          <w:lang w:val="es-AR"/>
        </w:rPr>
        <w:t xml:space="preserve">El SMEIG fue constituido en septiembre de 2010 por los Fiduciarios de la Fundación IFRS, </w:t>
      </w:r>
      <w:r>
        <w:rPr>
          <w:bCs/>
          <w:lang w:val="es-AR"/>
        </w:rPr>
        <w:t xml:space="preserve">realizando </w:t>
      </w:r>
      <w:r w:rsidR="00153C2E" w:rsidRPr="00153C2E">
        <w:rPr>
          <w:bCs/>
          <w:lang w:val="es-AR"/>
        </w:rPr>
        <w:t>un llamado público para sus nominaciones. El SMEIG está constituido por 22 miembros.</w:t>
      </w:r>
      <w:r w:rsidR="003C339B">
        <w:rPr>
          <w:bCs/>
          <w:lang w:val="es-AR"/>
        </w:rPr>
        <w:t xml:space="preserve"> T</w:t>
      </w:r>
      <w:r w:rsidR="00153C2E" w:rsidRPr="00153C2E">
        <w:rPr>
          <w:bCs/>
          <w:lang w:val="es-AR"/>
        </w:rPr>
        <w:t>iene dos responsabilidades principales:</w:t>
      </w:r>
      <w:r w:rsidR="003C339B">
        <w:rPr>
          <w:bCs/>
          <w:lang w:val="es-AR"/>
        </w:rPr>
        <w:t xml:space="preserve"> </w:t>
      </w:r>
      <w:r w:rsidR="00153C2E" w:rsidRPr="00153C2E">
        <w:rPr>
          <w:bCs/>
          <w:lang w:val="es-AR"/>
        </w:rPr>
        <w:t>• Considerar preguntas de implementación enviadas por los usuarios de la NIIF para las PYMES, decidir cuál de ellas amerita una guía y desarrollar para su publicación guías en forma de preguntas y respuestas (Q&amp;A) no obligatorias para la implementación de la NIIF para las PYMES;</w:t>
      </w:r>
      <w:r w:rsidR="003C339B">
        <w:rPr>
          <w:bCs/>
          <w:lang w:val="es-AR"/>
        </w:rPr>
        <w:t xml:space="preserve"> </w:t>
      </w:r>
      <w:r w:rsidR="00153C2E" w:rsidRPr="00153C2E">
        <w:rPr>
          <w:bCs/>
          <w:lang w:val="es-AR"/>
        </w:rPr>
        <w:t>• Recomendar al IASB posibles enmiendas a la NIIF para las PYMES como parte de una revisión integral post-implementación de la Norma.</w:t>
      </w:r>
      <w:r w:rsidR="00EB4A42">
        <w:rPr>
          <w:bCs/>
          <w:lang w:val="es-AR"/>
        </w:rPr>
        <w:t xml:space="preserve"> </w:t>
      </w:r>
      <w:r w:rsidR="00153C2E" w:rsidRPr="00153C2E">
        <w:rPr>
          <w:bCs/>
          <w:lang w:val="es-AR"/>
        </w:rPr>
        <w:t xml:space="preserve">Los términos de referencia y los procedimientos para el funcionamiento del </w:t>
      </w:r>
      <w:r w:rsidR="00153C2E" w:rsidRPr="00153C2E">
        <w:rPr>
          <w:bCs/>
          <w:lang w:val="es-AR"/>
        </w:rPr>
        <w:lastRenderedPageBreak/>
        <w:t xml:space="preserve">SMEIG fueron </w:t>
      </w:r>
      <w:hyperlink r:id="rId10" w:history="1">
        <w:r w:rsidR="00153C2E" w:rsidRPr="00EB4A42">
          <w:rPr>
            <w:rStyle w:val="Hyperlink"/>
            <w:bCs/>
            <w:lang w:val="es-AR"/>
          </w:rPr>
          <w:t>aprobados</w:t>
        </w:r>
      </w:hyperlink>
      <w:r w:rsidR="00153C2E" w:rsidRPr="00153C2E">
        <w:rPr>
          <w:bCs/>
          <w:lang w:val="es-AR"/>
        </w:rPr>
        <w:t xml:space="preserve"> por los Fiduciarios en enero de 2010. </w:t>
      </w:r>
    </w:p>
    <w:p w:rsidR="00153C2E" w:rsidRPr="00153C2E" w:rsidRDefault="00153C2E" w:rsidP="00153C2E">
      <w:pPr>
        <w:rPr>
          <w:lang w:val="es-AR"/>
        </w:rPr>
      </w:pPr>
      <w:r w:rsidRPr="00153C2E">
        <w:rPr>
          <w:lang w:val="es-AR"/>
        </w:rPr>
        <w:t>De otra parte</w:t>
      </w:r>
      <w:r w:rsidR="007A6A44">
        <w:rPr>
          <w:lang w:val="es-AR"/>
        </w:rPr>
        <w:t>, se</w:t>
      </w:r>
      <w:r w:rsidRPr="00153C2E">
        <w:rPr>
          <w:lang w:val="es-AR"/>
        </w:rPr>
        <w:t xml:space="preserve"> public</w:t>
      </w:r>
      <w:r w:rsidR="00EB4A42">
        <w:rPr>
          <w:lang w:val="es-AR"/>
        </w:rPr>
        <w:t>ó</w:t>
      </w:r>
      <w:r w:rsidRPr="00153C2E">
        <w:rPr>
          <w:lang w:val="es-AR"/>
        </w:rPr>
        <w:t xml:space="preserve"> el documento denominado</w:t>
      </w:r>
      <w:r w:rsidR="00D572FC">
        <w:rPr>
          <w:lang w:val="es-AR"/>
        </w:rPr>
        <w:t xml:space="preserve"> </w:t>
      </w:r>
      <w:r w:rsidRPr="00EB4A42">
        <w:rPr>
          <w:bCs/>
          <w:i/>
          <w:lang w:val="es-AR"/>
        </w:rPr>
        <w:t xml:space="preserve">Guía de orientación para </w:t>
      </w:r>
      <w:proofErr w:type="gramStart"/>
      <w:r w:rsidRPr="00EB4A42">
        <w:rPr>
          <w:bCs/>
          <w:i/>
          <w:lang w:val="es-AR"/>
        </w:rPr>
        <w:t>las micro-entidades</w:t>
      </w:r>
      <w:proofErr w:type="gramEnd"/>
      <w:r w:rsidRPr="00EB4A42">
        <w:rPr>
          <w:bCs/>
          <w:i/>
          <w:lang w:val="es-AR"/>
        </w:rPr>
        <w:t xml:space="preserve"> que apliquen la NIIF para las PYMES</w:t>
      </w:r>
      <w:r w:rsidR="00A52152">
        <w:rPr>
          <w:bCs/>
          <w:i/>
          <w:lang w:val="es-AR"/>
        </w:rPr>
        <w:t xml:space="preserve">. </w:t>
      </w:r>
      <w:r w:rsidR="00A52152" w:rsidRPr="00A52152">
        <w:rPr>
          <w:bCs/>
          <w:lang w:val="es-AR"/>
        </w:rPr>
        <w:t>D</w:t>
      </w:r>
      <w:r w:rsidRPr="00153C2E">
        <w:rPr>
          <w:lang w:val="es-AR"/>
        </w:rPr>
        <w:t>entro de los fundamentos de las conclusiones de la NIIF para las PYMES, e</w:t>
      </w:r>
      <w:r w:rsidR="00A52152">
        <w:rPr>
          <w:lang w:val="es-AR"/>
        </w:rPr>
        <w:t>l</w:t>
      </w:r>
      <w:r w:rsidRPr="00153C2E">
        <w:rPr>
          <w:lang w:val="es-AR"/>
        </w:rPr>
        <w:t xml:space="preserve"> Consejo del IASB estableció su </w:t>
      </w:r>
      <w:hyperlink r:id="rId11" w:history="1">
        <w:r w:rsidRPr="0015456C">
          <w:rPr>
            <w:rStyle w:val="Hyperlink"/>
            <w:lang w:val="es-AR"/>
          </w:rPr>
          <w:t>punto de vista</w:t>
        </w:r>
      </w:hyperlink>
      <w:r w:rsidRPr="00153C2E">
        <w:rPr>
          <w:lang w:val="es-AR"/>
        </w:rPr>
        <w:t xml:space="preserve"> acerca de la aplicabilidad de la NIIF para las PYMES </w:t>
      </w:r>
      <w:proofErr w:type="gramStart"/>
      <w:r w:rsidR="00C1423A">
        <w:rPr>
          <w:lang w:val="es-AR"/>
        </w:rPr>
        <w:t>a</w:t>
      </w:r>
      <w:r w:rsidRPr="00153C2E">
        <w:rPr>
          <w:lang w:val="es-AR"/>
        </w:rPr>
        <w:t xml:space="preserve"> las micro</w:t>
      </w:r>
      <w:proofErr w:type="gramEnd"/>
      <w:r w:rsidR="00C1423A">
        <w:rPr>
          <w:lang w:val="es-AR"/>
        </w:rPr>
        <w:t xml:space="preserve"> </w:t>
      </w:r>
      <w:r w:rsidRPr="00153C2E">
        <w:rPr>
          <w:lang w:val="es-AR"/>
        </w:rPr>
        <w:t xml:space="preserve">entidades que deban presentar estados financieros de propósitos generales. El objetivo es identificar los temas más comunes que resultan de aplicación en este tipo de entidades, para que puedan aplicar la NIIF para las PYMES en la preparación de sus estados financieros y declarar </w:t>
      </w:r>
      <w:r w:rsidR="007A6A44">
        <w:rPr>
          <w:lang w:val="es-AR"/>
        </w:rPr>
        <w:t>su</w:t>
      </w:r>
      <w:r w:rsidRPr="00153C2E">
        <w:rPr>
          <w:lang w:val="es-AR"/>
        </w:rPr>
        <w:t xml:space="preserve"> cumplimiento en los mismos. </w:t>
      </w:r>
    </w:p>
    <w:p w:rsidR="00153C2E" w:rsidRPr="00153C2E" w:rsidRDefault="00153C2E" w:rsidP="00153C2E">
      <w:pPr>
        <w:rPr>
          <w:lang w:val="es-AR"/>
        </w:rPr>
      </w:pPr>
      <w:r w:rsidRPr="00153C2E">
        <w:rPr>
          <w:lang w:val="es-AR"/>
        </w:rPr>
        <w:t>El proyecto inici</w:t>
      </w:r>
      <w:r w:rsidR="00C1423A">
        <w:rPr>
          <w:lang w:val="es-AR"/>
        </w:rPr>
        <w:t>ó</w:t>
      </w:r>
      <w:r w:rsidRPr="00153C2E">
        <w:rPr>
          <w:lang w:val="es-AR"/>
        </w:rPr>
        <w:t xml:space="preserve"> </w:t>
      </w:r>
      <w:r w:rsidR="00B5260A">
        <w:rPr>
          <w:lang w:val="es-AR"/>
        </w:rPr>
        <w:t>la</w:t>
      </w:r>
      <w:r w:rsidRPr="00153C2E">
        <w:rPr>
          <w:lang w:val="es-AR"/>
        </w:rPr>
        <w:t xml:space="preserve"> revisión en el segundo trimestre de 2012 y concluirá en el año 2015. </w:t>
      </w:r>
      <w:r w:rsidR="00781561">
        <w:rPr>
          <w:lang w:val="es-AR"/>
        </w:rPr>
        <w:t>C</w:t>
      </w:r>
      <w:r w:rsidRPr="00153C2E">
        <w:rPr>
          <w:lang w:val="es-AR"/>
        </w:rPr>
        <w:t xml:space="preserve">onsiderará la revisión de las </w:t>
      </w:r>
      <w:r w:rsidR="00781561">
        <w:rPr>
          <w:lang w:val="es-AR"/>
        </w:rPr>
        <w:t>n</w:t>
      </w:r>
      <w:r w:rsidRPr="00153C2E">
        <w:rPr>
          <w:lang w:val="es-AR"/>
        </w:rPr>
        <w:t>ormas emitidas por IASB posteriores a la publicación de las IFRS para PYMES</w:t>
      </w:r>
      <w:r w:rsidR="00781561">
        <w:rPr>
          <w:lang w:val="es-AR"/>
        </w:rPr>
        <w:t>. L</w:t>
      </w:r>
      <w:r w:rsidRPr="00153C2E">
        <w:rPr>
          <w:lang w:val="es-AR"/>
        </w:rPr>
        <w:t>os cambios generados por</w:t>
      </w:r>
      <w:r w:rsidR="00D572FC">
        <w:rPr>
          <w:lang w:val="es-AR"/>
        </w:rPr>
        <w:t xml:space="preserve"> </w:t>
      </w:r>
      <w:r w:rsidRPr="00153C2E">
        <w:rPr>
          <w:lang w:val="es-AR"/>
        </w:rPr>
        <w:t xml:space="preserve">IASB en </w:t>
      </w:r>
      <w:r w:rsidR="00781561">
        <w:rPr>
          <w:lang w:val="es-AR"/>
        </w:rPr>
        <w:t xml:space="preserve">las </w:t>
      </w:r>
      <w:r w:rsidRPr="00153C2E">
        <w:rPr>
          <w:lang w:val="es-AR"/>
        </w:rPr>
        <w:t xml:space="preserve">IFRS </w:t>
      </w:r>
      <w:r w:rsidRPr="00781561">
        <w:rPr>
          <w:i/>
          <w:lang w:val="es-AR"/>
        </w:rPr>
        <w:t>full</w:t>
      </w:r>
      <w:r w:rsidRPr="00153C2E">
        <w:rPr>
          <w:lang w:val="es-AR"/>
        </w:rPr>
        <w:t xml:space="preserve"> se considerarán en las PYMES con una frecuencia de tres años.</w:t>
      </w:r>
    </w:p>
    <w:p w:rsidR="00153C2E" w:rsidRPr="00153C2E" w:rsidRDefault="00153C2E" w:rsidP="00153C2E">
      <w:pPr>
        <w:rPr>
          <w:lang w:val="es-AR"/>
        </w:rPr>
      </w:pPr>
      <w:r w:rsidRPr="00153C2E">
        <w:rPr>
          <w:lang w:val="es-AR"/>
        </w:rPr>
        <w:t xml:space="preserve">Esta es una oportunidad para que los reguladores en Colombia consideren estos aspectos </w:t>
      </w:r>
      <w:r w:rsidR="00B5260A">
        <w:rPr>
          <w:lang w:val="es-AR"/>
        </w:rPr>
        <w:t>y los alinien</w:t>
      </w:r>
      <w:bookmarkStart w:id="0" w:name="_GoBack"/>
      <w:bookmarkEnd w:id="0"/>
      <w:r w:rsidRPr="00153C2E">
        <w:rPr>
          <w:lang w:val="es-AR"/>
        </w:rPr>
        <w:t xml:space="preserve"> con los documentos de estrategia emitidos por el Consejo Técnico de la Contaduría Pública</w:t>
      </w:r>
      <w:r w:rsidR="00DB34E4">
        <w:rPr>
          <w:lang w:val="es-AR"/>
        </w:rPr>
        <w:t>,</w:t>
      </w:r>
      <w:r w:rsidRPr="00153C2E">
        <w:rPr>
          <w:lang w:val="es-AR"/>
        </w:rPr>
        <w:t xml:space="preserve"> ya que la revisión final del documento de revisión integral coin</w:t>
      </w:r>
      <w:r w:rsidR="00E21323">
        <w:rPr>
          <w:lang w:val="es-AR"/>
        </w:rPr>
        <w:t>cidirá</w:t>
      </w:r>
      <w:r w:rsidRPr="00153C2E">
        <w:rPr>
          <w:lang w:val="es-AR"/>
        </w:rPr>
        <w:t xml:space="preserve"> con la entrada en vigencia </w:t>
      </w:r>
      <w:r w:rsidR="00E21323">
        <w:rPr>
          <w:lang w:val="es-AR"/>
        </w:rPr>
        <w:t xml:space="preserve">en Colombia de las </w:t>
      </w:r>
      <w:r w:rsidRPr="00153C2E">
        <w:rPr>
          <w:lang w:val="es-AR"/>
        </w:rPr>
        <w:t>Normas Internacionales de Información Financiera para las PYMES, esto es 1 de enero de 2015.</w:t>
      </w:r>
    </w:p>
    <w:p w:rsidR="007A492D" w:rsidRPr="00994133" w:rsidRDefault="00994133" w:rsidP="00994133">
      <w:pPr>
        <w:jc w:val="right"/>
        <w:rPr>
          <w:i/>
        </w:rPr>
      </w:pPr>
      <w:r w:rsidRPr="00994133">
        <w:rPr>
          <w:i/>
        </w:rPr>
        <w:t>Luis Henry Moya Moreno</w:t>
      </w:r>
    </w:p>
    <w:sectPr w:rsidR="007A492D" w:rsidRPr="00994133"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818" w:rsidRDefault="00EB1818" w:rsidP="00EE7812">
      <w:pPr>
        <w:spacing w:after="0" w:line="240" w:lineRule="auto"/>
      </w:pPr>
      <w:r>
        <w:separator/>
      </w:r>
    </w:p>
  </w:endnote>
  <w:endnote w:type="continuationSeparator" w:id="0">
    <w:p w:rsidR="00EB1818" w:rsidRDefault="00EB18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818" w:rsidRDefault="00EB1818" w:rsidP="00EE7812">
      <w:pPr>
        <w:spacing w:after="0" w:line="240" w:lineRule="auto"/>
      </w:pPr>
      <w:r>
        <w:separator/>
      </w:r>
    </w:p>
  </w:footnote>
  <w:footnote w:type="continuationSeparator" w:id="0">
    <w:p w:rsidR="00EB1818" w:rsidRDefault="00EB181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155154">
      <w:t>60</w:t>
    </w:r>
    <w:r w:rsidR="009D09BB">
      <w:t xml:space="preserve">, </w:t>
    </w:r>
    <w:r w:rsidR="00A84218">
      <w:t>agosto</w:t>
    </w:r>
    <w:r w:rsidR="00E00D55">
      <w:t xml:space="preserve"> </w:t>
    </w:r>
    <w:r w:rsidR="00E941A2">
      <w:t>13</w:t>
    </w:r>
    <w:r w:rsidR="0005771D">
      <w:t xml:space="preserve"> </w:t>
    </w:r>
    <w:r w:rsidR="0080786C">
      <w:t>de 201</w:t>
    </w:r>
    <w:r w:rsidR="00297D4C">
      <w:t>2</w:t>
    </w:r>
  </w:p>
  <w:p w:rsidR="0046164F" w:rsidRDefault="00EB181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4"/>
  </w:num>
  <w:num w:numId="7">
    <w:abstractNumId w:val="35"/>
  </w:num>
  <w:num w:numId="8">
    <w:abstractNumId w:val="16"/>
  </w:num>
  <w:num w:numId="9">
    <w:abstractNumId w:val="5"/>
  </w:num>
  <w:num w:numId="10">
    <w:abstractNumId w:val="23"/>
  </w:num>
  <w:num w:numId="11">
    <w:abstractNumId w:val="26"/>
  </w:num>
  <w:num w:numId="12">
    <w:abstractNumId w:val="0"/>
  </w:num>
  <w:num w:numId="13">
    <w:abstractNumId w:val="9"/>
  </w:num>
  <w:num w:numId="14">
    <w:abstractNumId w:val="11"/>
  </w:num>
  <w:num w:numId="15">
    <w:abstractNumId w:val="22"/>
  </w:num>
  <w:num w:numId="16">
    <w:abstractNumId w:val="7"/>
  </w:num>
  <w:num w:numId="17">
    <w:abstractNumId w:val="4"/>
  </w:num>
  <w:num w:numId="18">
    <w:abstractNumId w:val="31"/>
  </w:num>
  <w:num w:numId="19">
    <w:abstractNumId w:val="13"/>
  </w:num>
  <w:num w:numId="20">
    <w:abstractNumId w:val="19"/>
  </w:num>
  <w:num w:numId="21">
    <w:abstractNumId w:val="17"/>
  </w:num>
  <w:num w:numId="22">
    <w:abstractNumId w:val="2"/>
  </w:num>
  <w:num w:numId="23">
    <w:abstractNumId w:val="18"/>
  </w:num>
  <w:num w:numId="24">
    <w:abstractNumId w:val="24"/>
  </w:num>
  <w:num w:numId="25">
    <w:abstractNumId w:val="1"/>
  </w:num>
  <w:num w:numId="26">
    <w:abstractNumId w:val="15"/>
  </w:num>
  <w:num w:numId="27">
    <w:abstractNumId w:val="28"/>
  </w:num>
  <w:num w:numId="28">
    <w:abstractNumId w:val="29"/>
  </w:num>
  <w:num w:numId="29">
    <w:abstractNumId w:val="27"/>
  </w:num>
  <w:num w:numId="30">
    <w:abstractNumId w:val="30"/>
  </w:num>
  <w:num w:numId="31">
    <w:abstractNumId w:val="3"/>
  </w:num>
  <w:num w:numId="32">
    <w:abstractNumId w:val="36"/>
  </w:num>
  <w:num w:numId="33">
    <w:abstractNumId w:val="10"/>
  </w:num>
  <w:num w:numId="34">
    <w:abstractNumId w:val="37"/>
  </w:num>
  <w:num w:numId="35">
    <w:abstractNumId w:val="21"/>
  </w:num>
  <w:num w:numId="36">
    <w:abstractNumId w:val="20"/>
  </w:num>
  <w:num w:numId="37">
    <w:abstractNumId w:val="25"/>
  </w:num>
  <w:num w:numId="38">
    <w:abstractNumId w:val="8"/>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D1"/>
    <w:rsid w:val="000363AD"/>
    <w:rsid w:val="000369B9"/>
    <w:rsid w:val="000369EC"/>
    <w:rsid w:val="00036A45"/>
    <w:rsid w:val="0003775B"/>
    <w:rsid w:val="00037E63"/>
    <w:rsid w:val="00040493"/>
    <w:rsid w:val="000404DB"/>
    <w:rsid w:val="00040820"/>
    <w:rsid w:val="000409FC"/>
    <w:rsid w:val="00040CA3"/>
    <w:rsid w:val="0004154C"/>
    <w:rsid w:val="00041A72"/>
    <w:rsid w:val="00041B9E"/>
    <w:rsid w:val="00043130"/>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2B9"/>
    <w:rsid w:val="0006152D"/>
    <w:rsid w:val="000618E3"/>
    <w:rsid w:val="00061B05"/>
    <w:rsid w:val="0006254A"/>
    <w:rsid w:val="00062A2B"/>
    <w:rsid w:val="00062A63"/>
    <w:rsid w:val="00062DCF"/>
    <w:rsid w:val="00063942"/>
    <w:rsid w:val="00064013"/>
    <w:rsid w:val="000642F8"/>
    <w:rsid w:val="000643EC"/>
    <w:rsid w:val="000646F9"/>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15E"/>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5B5"/>
    <w:rsid w:val="001147B1"/>
    <w:rsid w:val="0011483A"/>
    <w:rsid w:val="0011491F"/>
    <w:rsid w:val="00114BB6"/>
    <w:rsid w:val="00114E29"/>
    <w:rsid w:val="00115F1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B20"/>
    <w:rsid w:val="00132B2E"/>
    <w:rsid w:val="00132E05"/>
    <w:rsid w:val="001335EF"/>
    <w:rsid w:val="00133A8C"/>
    <w:rsid w:val="001344AD"/>
    <w:rsid w:val="00134724"/>
    <w:rsid w:val="00134AC5"/>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3C2E"/>
    <w:rsid w:val="001540D7"/>
    <w:rsid w:val="0015456C"/>
    <w:rsid w:val="00154A4B"/>
    <w:rsid w:val="00154E09"/>
    <w:rsid w:val="00154E0C"/>
    <w:rsid w:val="00155154"/>
    <w:rsid w:val="00155B44"/>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30340"/>
    <w:rsid w:val="00330540"/>
    <w:rsid w:val="00330C4D"/>
    <w:rsid w:val="00330CD2"/>
    <w:rsid w:val="003310C0"/>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39B"/>
    <w:rsid w:val="003C3555"/>
    <w:rsid w:val="003C37E5"/>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C65"/>
    <w:rsid w:val="003E20F0"/>
    <w:rsid w:val="003E2199"/>
    <w:rsid w:val="003E2DE4"/>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139"/>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8EE"/>
    <w:rsid w:val="00437AD1"/>
    <w:rsid w:val="00440490"/>
    <w:rsid w:val="004406C1"/>
    <w:rsid w:val="004408ED"/>
    <w:rsid w:val="00440912"/>
    <w:rsid w:val="00440BD4"/>
    <w:rsid w:val="00440BEF"/>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4E45"/>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55F"/>
    <w:rsid w:val="00531C0A"/>
    <w:rsid w:val="00532359"/>
    <w:rsid w:val="005325D9"/>
    <w:rsid w:val="0053266E"/>
    <w:rsid w:val="00532BEF"/>
    <w:rsid w:val="00532F23"/>
    <w:rsid w:val="00532F43"/>
    <w:rsid w:val="00532F87"/>
    <w:rsid w:val="00533A3C"/>
    <w:rsid w:val="00533ED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B69"/>
    <w:rsid w:val="00541E04"/>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52B"/>
    <w:rsid w:val="0055679A"/>
    <w:rsid w:val="00557888"/>
    <w:rsid w:val="00557B1B"/>
    <w:rsid w:val="005600C0"/>
    <w:rsid w:val="0056075D"/>
    <w:rsid w:val="00560C53"/>
    <w:rsid w:val="00560CE5"/>
    <w:rsid w:val="00560D9E"/>
    <w:rsid w:val="00560E21"/>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917"/>
    <w:rsid w:val="00592ABE"/>
    <w:rsid w:val="00592E22"/>
    <w:rsid w:val="00592EEF"/>
    <w:rsid w:val="00593BE2"/>
    <w:rsid w:val="00593ECF"/>
    <w:rsid w:val="005946F0"/>
    <w:rsid w:val="00594935"/>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576"/>
    <w:rsid w:val="005D0C2E"/>
    <w:rsid w:val="005D0DF3"/>
    <w:rsid w:val="005D0F96"/>
    <w:rsid w:val="005D1630"/>
    <w:rsid w:val="005D1D2A"/>
    <w:rsid w:val="005D28EA"/>
    <w:rsid w:val="005D2953"/>
    <w:rsid w:val="005D2D09"/>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76D"/>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4AC"/>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60BC"/>
    <w:rsid w:val="006565D1"/>
    <w:rsid w:val="00656C8E"/>
    <w:rsid w:val="00656CE4"/>
    <w:rsid w:val="00656E38"/>
    <w:rsid w:val="0065728D"/>
    <w:rsid w:val="00657DE3"/>
    <w:rsid w:val="00660214"/>
    <w:rsid w:val="006605F3"/>
    <w:rsid w:val="00660C7C"/>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5E2B"/>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BC5"/>
    <w:rsid w:val="00905D5C"/>
    <w:rsid w:val="00905F8A"/>
    <w:rsid w:val="009064B0"/>
    <w:rsid w:val="009064B8"/>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53A"/>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C"/>
    <w:rsid w:val="00991A5D"/>
    <w:rsid w:val="00991BD1"/>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66B6"/>
    <w:rsid w:val="009A706D"/>
    <w:rsid w:val="009A7682"/>
    <w:rsid w:val="009B00E5"/>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F8"/>
    <w:rsid w:val="00A129C7"/>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210"/>
    <w:rsid w:val="00A473A9"/>
    <w:rsid w:val="00A47532"/>
    <w:rsid w:val="00A4797B"/>
    <w:rsid w:val="00A47FEE"/>
    <w:rsid w:val="00A50236"/>
    <w:rsid w:val="00A503DF"/>
    <w:rsid w:val="00A50669"/>
    <w:rsid w:val="00A50A39"/>
    <w:rsid w:val="00A51278"/>
    <w:rsid w:val="00A51E9C"/>
    <w:rsid w:val="00A52152"/>
    <w:rsid w:val="00A52196"/>
    <w:rsid w:val="00A523CA"/>
    <w:rsid w:val="00A52567"/>
    <w:rsid w:val="00A52686"/>
    <w:rsid w:val="00A5269B"/>
    <w:rsid w:val="00A534D3"/>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3B72"/>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B25"/>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343"/>
    <w:rsid w:val="00B97672"/>
    <w:rsid w:val="00B977E7"/>
    <w:rsid w:val="00B97913"/>
    <w:rsid w:val="00B97B4C"/>
    <w:rsid w:val="00BA01BA"/>
    <w:rsid w:val="00BA0331"/>
    <w:rsid w:val="00BA0365"/>
    <w:rsid w:val="00BA0C51"/>
    <w:rsid w:val="00BA12BA"/>
    <w:rsid w:val="00BA1354"/>
    <w:rsid w:val="00BA1A9A"/>
    <w:rsid w:val="00BA1ABA"/>
    <w:rsid w:val="00BA1E20"/>
    <w:rsid w:val="00BA21D3"/>
    <w:rsid w:val="00BA3103"/>
    <w:rsid w:val="00BA36B4"/>
    <w:rsid w:val="00BA45D9"/>
    <w:rsid w:val="00BA57B9"/>
    <w:rsid w:val="00BA5D53"/>
    <w:rsid w:val="00BA5E0D"/>
    <w:rsid w:val="00BA61BB"/>
    <w:rsid w:val="00BA637A"/>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78E"/>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61C"/>
    <w:rsid w:val="00C05DE1"/>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45C"/>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667"/>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0CA5"/>
    <w:rsid w:val="00EB0E55"/>
    <w:rsid w:val="00EB1693"/>
    <w:rsid w:val="00EB1818"/>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3C7"/>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E5A"/>
    <w:rsid w:val="00EF50C1"/>
    <w:rsid w:val="00EF570F"/>
    <w:rsid w:val="00EF589B"/>
    <w:rsid w:val="00EF5B86"/>
    <w:rsid w:val="00EF670C"/>
    <w:rsid w:val="00EF6922"/>
    <w:rsid w:val="00EF6DFE"/>
    <w:rsid w:val="00EF72E9"/>
    <w:rsid w:val="00EF7822"/>
    <w:rsid w:val="00F0007C"/>
    <w:rsid w:val="00F00E23"/>
    <w:rsid w:val="00F0103E"/>
    <w:rsid w:val="00F01171"/>
    <w:rsid w:val="00F024BF"/>
    <w:rsid w:val="00F0268C"/>
    <w:rsid w:val="00F0274C"/>
    <w:rsid w:val="00F02D35"/>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Alerts/PressRelease/Micro+SME+July+2012.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frs.org/IFRS+for+SMEs/Implementation+Group.htm" TargetMode="External"/><Relationship Id="rId4" Type="http://schemas.microsoft.com/office/2007/relationships/stylesWithEffects" Target="stylesWithEffects.xml"/><Relationship Id="rId9" Type="http://schemas.openxmlformats.org/officeDocument/2006/relationships/hyperlink" Target="http://www.ifrs.org/IFRS+for+SMEs/Review2012.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51ABA-9086-4D3C-BCBD-4B44C7F2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495</Words>
  <Characters>2724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2012-08-12T22:08:00Z</dcterms:created>
  <dcterms:modified xsi:type="dcterms:W3CDTF">2012-08-12T22:35:00Z</dcterms:modified>
</cp:coreProperties>
</file>