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6D969" w14:textId="7018053D" w:rsidR="005E342E" w:rsidRPr="005E342E" w:rsidRDefault="005E342E" w:rsidP="005E342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 w:rsidRPr="005E342E">
        <w:rPr>
          <w:position w:val="-7"/>
          <w:sz w:val="120"/>
        </w:rPr>
        <w:t>S</w:t>
      </w:r>
    </w:p>
    <w:p w14:paraId="37A425E5" w14:textId="0263BEED" w:rsidR="009C3BD1" w:rsidRDefault="005E342E" w:rsidP="009C3BD1">
      <w:r>
        <w:t xml:space="preserve">egún se explica en el </w:t>
      </w:r>
      <w:hyperlink r:id="rId8" w:history="1">
        <w:r w:rsidRPr="005E342E">
          <w:rPr>
            <w:rStyle w:val="Hyperlink"/>
          </w:rPr>
          <w:t>Real Decreto 2/2021, de 12 de enero, por el que se aprueba el Reglamento de desarrollo de la Ley 22/2015, de 20 de julio, de Auditoría de Cuentas</w:t>
        </w:r>
      </w:hyperlink>
      <w:r>
        <w:t>, “</w:t>
      </w:r>
      <w:r w:rsidR="00355ECA" w:rsidRPr="00355ECA">
        <w:rPr>
          <w:i/>
          <w:iCs/>
        </w:rPr>
        <w:t>En segundo lugar, persigue reforzar la independencia de los auditores en el ejercicio de su actividad, pilar básico y fundamental en que reside la confianza que se deposita en el informe de auditoría, incorporándose requisitos más restrictivos, potenciándose la actitud de escepticismo profesional y la atención especial que debe prestarse para evitar conflictos de interés o la presencia de determinados intereses. Igualmente, se exigen requisitos mayores para quienes auditan entidades de interés público, mediante una lista de servicios distintos de auditoría prohibidos, que no pueden prestarse a aquellas entidades, su matriz y sus controladas; determinadas normas por las que se limitan los honorarios que pueden percibir por los servicios distintos de los de auditoría permitidos o en relación con una determinada entidad de interés público, la obligación de rotación externa, y determinadas obligaciones en relación con la Comisión de Auditoría de estas entidades</w:t>
      </w:r>
      <w:r w:rsidR="00355ECA">
        <w:t>”</w:t>
      </w:r>
    </w:p>
    <w:p w14:paraId="7FA7B112" w14:textId="418EE359" w:rsidR="00E632DD" w:rsidRDefault="00355ECA" w:rsidP="005E342E">
      <w:r>
        <w:t>También aquí sucede que hay normas legales y normas profesionales, estas contenidas en el Código internacional de ética para los profesionales de la contabilidad, emitido por el IESBA.</w:t>
      </w:r>
    </w:p>
    <w:p w14:paraId="21B4B376" w14:textId="4D79E86B" w:rsidR="00355ECA" w:rsidRDefault="00355ECA" w:rsidP="005E342E">
      <w:r>
        <w:t xml:space="preserve">En las últimas décadas ha crecido notoriamente la regulación de la independencia. Hoy abunda el análisis de situaciones que </w:t>
      </w:r>
      <w:r w:rsidR="00995BC9">
        <w:t>dejábamos</w:t>
      </w:r>
      <w:r>
        <w:t xml:space="preserve"> pasar en silencio. En algunos casos es posible evitar la pérdida </w:t>
      </w:r>
      <w:r>
        <w:t>de autonomía y en otros no. Se ha trabajado mucho el concepto de compatibilidad por cuanto hay actividades que generan conflictos de interés, que son duramente reprochados. Se ha dado paso a normas abiertas, a la consagración de principios de comportamiento, más que a la estipulación de situaciones concretas prohibidas.</w:t>
      </w:r>
    </w:p>
    <w:p w14:paraId="1CF64F6D" w14:textId="7682D9DC" w:rsidR="00355ECA" w:rsidRDefault="00355ECA" w:rsidP="005E342E">
      <w:r>
        <w:t>Para luchar contra intereses propios por ganar más dinero, se ha prohibido prestar servicios de auditoría y de no auditoría al mismo tiempo. No olvidemos que los honorarios muy bajos o altos amenazan la calidad y la independencia del auditor.</w:t>
      </w:r>
    </w:p>
    <w:p w14:paraId="14ECC9D5" w14:textId="4EBF6E4B" w:rsidR="00355ECA" w:rsidRDefault="00355ECA" w:rsidP="005E342E">
      <w:r>
        <w:t>Para impedir la pérdida del escepticismo esperado y enfrentar una familiaridad nociva, poco a poco se está introduciendo el deber de cambiar la firma de contadores y ya en muchos casos es obligatorio reemplazar a los socios líderes y a los equipos del trabajo.</w:t>
      </w:r>
    </w:p>
    <w:p w14:paraId="20F72151" w14:textId="50C08DB9" w:rsidR="00355ECA" w:rsidRDefault="00355ECA" w:rsidP="005E342E">
      <w:r>
        <w:t xml:space="preserve">Entre los informes nuevos tenemos las manifestaciones sobre la independencia que hoy se deben introducir en los dictámenes de muchas empresas. </w:t>
      </w:r>
      <w:r w:rsidR="00576725">
        <w:t xml:space="preserve">Estas manifestaciones no prueban </w:t>
      </w:r>
      <w:r w:rsidR="00995BC9">
        <w:t>nada,</w:t>
      </w:r>
      <w:r w:rsidR="00576725">
        <w:t xml:space="preserve"> pero obviamente si comprometen el dicho de los profesionales que están llamados a decir siempre la verdad.</w:t>
      </w:r>
    </w:p>
    <w:p w14:paraId="7EBDFE25" w14:textId="3006C213" w:rsidR="00576725" w:rsidRDefault="00995BC9" w:rsidP="005E342E">
      <w:r>
        <w:t>Lo que no puede hacerse en o para una entidad, no es admisible respecto de todas las entidades que hagan parte del mismo grupo. No es válido auditar la matriz y llevar la contabilidad de una subordinada. Recuérdese que hoy estas obligaciones se evalúan a nivel de redes.</w:t>
      </w:r>
    </w:p>
    <w:p w14:paraId="5B9BEDF8" w14:textId="6BBC79B1" w:rsidR="00E632DD" w:rsidRPr="005E342E" w:rsidRDefault="00E632DD" w:rsidP="00E632DD">
      <w:pPr>
        <w:jc w:val="right"/>
      </w:pPr>
      <w:r w:rsidRPr="003C4ED4">
        <w:rPr>
          <w:i/>
          <w:iCs/>
        </w:rPr>
        <w:t>Hernando Bermúdez Gómez</w:t>
      </w:r>
    </w:p>
    <w:sectPr w:rsidR="00E632DD" w:rsidRPr="005E342E" w:rsidSect="00586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8DE13" w14:textId="77777777" w:rsidR="00E761B6" w:rsidRDefault="00E761B6" w:rsidP="00EE7812">
      <w:pPr>
        <w:spacing w:after="0" w:line="240" w:lineRule="auto"/>
      </w:pPr>
      <w:r>
        <w:separator/>
      </w:r>
    </w:p>
  </w:endnote>
  <w:endnote w:type="continuationSeparator" w:id="0">
    <w:p w14:paraId="26C6C863" w14:textId="77777777" w:rsidR="00E761B6" w:rsidRDefault="00E761B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595D5" w14:textId="77777777" w:rsidR="004246BF" w:rsidRDefault="00424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A674" w14:textId="77777777" w:rsidR="004246BF" w:rsidRDefault="00424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337EA" w14:textId="77777777" w:rsidR="00E761B6" w:rsidRDefault="00E761B6" w:rsidP="00EE7812">
      <w:pPr>
        <w:spacing w:after="0" w:line="240" w:lineRule="auto"/>
      </w:pPr>
      <w:r>
        <w:separator/>
      </w:r>
    </w:p>
  </w:footnote>
  <w:footnote w:type="continuationSeparator" w:id="0">
    <w:p w14:paraId="6846A072" w14:textId="77777777" w:rsidR="00E761B6" w:rsidRDefault="00E761B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5CB2D" w14:textId="77777777" w:rsidR="004246BF" w:rsidRDefault="00424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5BB2BAEC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5249C8">
      <w:t>7</w:t>
    </w:r>
    <w:r w:rsidR="007D666F">
      <w:t>3</w:t>
    </w:r>
    <w:r w:rsidR="004246BF">
      <w:t>4</w:t>
    </w:r>
    <w:r>
      <w:t xml:space="preserve">, </w:t>
    </w:r>
    <w:r w:rsidR="00262F70">
      <w:t>2</w:t>
    </w:r>
    <w:r w:rsidR="00AA002F">
      <w:t>9</w:t>
    </w:r>
    <w:r w:rsidR="00D57DE2">
      <w:t xml:space="preserve"> de marzo</w:t>
    </w:r>
    <w:r>
      <w:t xml:space="preserve"> de 202</w:t>
    </w:r>
    <w:r w:rsidR="00461A09">
      <w:t>1</w:t>
    </w:r>
  </w:p>
  <w:p w14:paraId="29566F03" w14:textId="486D5996" w:rsidR="0000261B" w:rsidRDefault="00E761B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07C85" w14:textId="77777777" w:rsidR="004246BF" w:rsidRDefault="00424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A4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6A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16"/>
    <w:rsid w:val="00194F4F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6EF8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B3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4FED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5FC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5EF"/>
    <w:rsid w:val="00325607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596"/>
    <w:rsid w:val="003475D6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1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6BF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30"/>
    <w:rsid w:val="004E5A35"/>
    <w:rsid w:val="004E5C0B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B60"/>
    <w:rsid w:val="00543C09"/>
    <w:rsid w:val="00543C0F"/>
    <w:rsid w:val="00543C30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56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D4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A5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4F2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323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12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4FF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E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B2D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82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9B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8C2"/>
    <w:rsid w:val="00883984"/>
    <w:rsid w:val="00883A1A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7"/>
    <w:rsid w:val="008C56A9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99C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8D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C0"/>
    <w:rsid w:val="00990650"/>
    <w:rsid w:val="0099076A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5DF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B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AFC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26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B0"/>
    <w:rsid w:val="00B058FE"/>
    <w:rsid w:val="00B059F4"/>
    <w:rsid w:val="00B05A15"/>
    <w:rsid w:val="00B05A40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A8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3FE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492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9A1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030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E7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4"/>
    <w:rsid w:val="00E5689C"/>
    <w:rsid w:val="00E568C1"/>
    <w:rsid w:val="00E5699F"/>
    <w:rsid w:val="00E569FB"/>
    <w:rsid w:val="00E56A1C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8"/>
    <w:rsid w:val="00E632DD"/>
    <w:rsid w:val="00E63457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1B6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4C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6C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36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3C"/>
    <w:rsid w:val="00FE7D27"/>
    <w:rsid w:val="00FE7D33"/>
    <w:rsid w:val="00FE7D71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21-135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2021-03-27T21:23:00Z</dcterms:created>
  <dcterms:modified xsi:type="dcterms:W3CDTF">2021-03-27T21:23:00Z</dcterms:modified>
</cp:coreProperties>
</file>