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EB" w:rsidRPr="00D81CEB" w:rsidRDefault="00D81CEB" w:rsidP="00D81CEB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7"/>
          <w:sz w:val="121"/>
        </w:rPr>
      </w:pPr>
      <w:r w:rsidRPr="00D81CEB">
        <w:rPr>
          <w:rFonts w:cs="Calibri"/>
          <w:position w:val="-7"/>
          <w:sz w:val="121"/>
        </w:rPr>
        <w:t>U</w:t>
      </w:r>
    </w:p>
    <w:p w:rsidR="00D81CEB" w:rsidRPr="00D81CEB" w:rsidRDefault="00D81CEB" w:rsidP="00D81CEB">
      <w:r w:rsidRPr="00D81CEB">
        <w:t xml:space="preserve">na revisión de los reportes financieros publicados en las páginas web de diversas entidades deja en evidencia uno de los asuntos que fueron tratados en el número </w:t>
      </w:r>
      <w:hyperlink r:id="rId9" w:history="1">
        <w:r w:rsidRPr="00D81CEB">
          <w:rPr>
            <w:rStyle w:val="Hipervnculo"/>
          </w:rPr>
          <w:t>51</w:t>
        </w:r>
        <w:r w:rsidRPr="00D81CEB">
          <w:rPr>
            <w:rStyle w:val="Hipervnculo"/>
          </w:rPr>
          <w:t>0</w:t>
        </w:r>
      </w:hyperlink>
      <w:r w:rsidRPr="00D81CEB">
        <w:t xml:space="preserve"> </w:t>
      </w:r>
      <w:r>
        <w:t xml:space="preserve">de </w:t>
      </w:r>
      <w:r w:rsidRPr="00D81CEB">
        <w:t>Contrapartida . El cambio de las normas contables no basta para mejorar la calidad de los reportes financieros de las compañías.</w:t>
      </w:r>
    </w:p>
    <w:p w:rsidR="00D81CEB" w:rsidRPr="00D81CEB" w:rsidRDefault="00D81CEB" w:rsidP="00D81CEB">
      <w:r w:rsidRPr="00D81CEB">
        <w:t xml:space="preserve">Por ejemplo, hoy en día algunas compañías afirman que los activos recibidos mediante contratos de arrendamiento financiero se tratan como lo dispone </w:t>
      </w:r>
      <w:r>
        <w:t xml:space="preserve">el </w:t>
      </w:r>
      <w:hyperlink r:id="rId10" w:history="1">
        <w:r w:rsidRPr="00D81CEB">
          <w:rPr>
            <w:rStyle w:val="Hipervnculo"/>
          </w:rPr>
          <w:t>artículo 127-1</w:t>
        </w:r>
      </w:hyperlink>
      <w:r>
        <w:t xml:space="preserve"> del Estatuto T</w:t>
      </w:r>
      <w:r w:rsidRPr="00D81CEB">
        <w:t>ributario.</w:t>
      </w:r>
    </w:p>
    <w:p w:rsidR="00D81CEB" w:rsidRPr="00D81CEB" w:rsidRDefault="00D81CEB" w:rsidP="00D81CEB">
      <w:r w:rsidRPr="00D81CEB">
        <w:t>De igual forma, es común encontrar</w:t>
      </w:r>
      <w:r>
        <w:t xml:space="preserve"> </w:t>
      </w:r>
      <w:r w:rsidRPr="00D81CEB">
        <w:t>afirmaciones tales como que la “</w:t>
      </w:r>
      <w:r w:rsidRPr="00D81CEB">
        <w:rPr>
          <w:i/>
        </w:rPr>
        <w:t>vida útil probable”</w:t>
      </w:r>
      <w:r>
        <w:rPr>
          <w:i/>
        </w:rPr>
        <w:t xml:space="preserve"> </w:t>
      </w:r>
      <w:r w:rsidRPr="00D81CEB">
        <w:t>de los activos fue calculada así:</w:t>
      </w:r>
    </w:p>
    <w:p w:rsidR="00D81CEB" w:rsidRPr="00D81CEB" w:rsidRDefault="00D81CEB" w:rsidP="00D81CEB">
      <w:pPr>
        <w:numPr>
          <w:ilvl w:val="0"/>
          <w:numId w:val="40"/>
        </w:numPr>
      </w:pPr>
      <w:r w:rsidRPr="00D81CEB">
        <w:t>20 años para los edificios.</w:t>
      </w:r>
    </w:p>
    <w:p w:rsidR="00D81CEB" w:rsidRPr="00D81CEB" w:rsidRDefault="00D81CEB" w:rsidP="00D81CEB">
      <w:pPr>
        <w:numPr>
          <w:ilvl w:val="0"/>
          <w:numId w:val="40"/>
        </w:numPr>
      </w:pPr>
      <w:r w:rsidRPr="00D81CEB">
        <w:t>10 años para la maquinaria.</w:t>
      </w:r>
    </w:p>
    <w:p w:rsidR="00D81CEB" w:rsidRPr="00D81CEB" w:rsidRDefault="00D81CEB" w:rsidP="00D81CEB">
      <w:pPr>
        <w:numPr>
          <w:ilvl w:val="0"/>
          <w:numId w:val="40"/>
        </w:numPr>
      </w:pPr>
      <w:r w:rsidRPr="00D81CEB">
        <w:t>5 años para los vehículos y equipos de cómputo.</w:t>
      </w:r>
    </w:p>
    <w:p w:rsidR="00D81CEB" w:rsidRPr="00D81CEB" w:rsidRDefault="00D81CEB" w:rsidP="00D81CEB">
      <w:r w:rsidRPr="00D81CEB">
        <w:t>Si bien es cierto que es posible encontrar varias entidades que utilizan vidas útiles distintas a las mencionadas anteriormente, también es evidente que existe la costumbre generalizada de determinar la vida útil de los activos de acuerdo con las normas tributarias.</w:t>
      </w:r>
      <w:r>
        <w:t xml:space="preserve"> </w:t>
      </w:r>
      <w:r w:rsidRPr="00D81CEB">
        <w:t xml:space="preserve">Incluso en algunos estados financieros se llega a afirmar en los estados </w:t>
      </w:r>
      <w:r>
        <w:t xml:space="preserve">que </w:t>
      </w:r>
      <w:r w:rsidRPr="00D81CEB">
        <w:t>los activos que tienen valores inferiores a 50 UVT se deprecian totalmente en un período fiscal sin considerar su vida útil, o que se utiliza un método de depreci</w:t>
      </w:r>
      <w:r>
        <w:t xml:space="preserve">ación acelerada previsto en el </w:t>
      </w:r>
      <w:hyperlink r:id="rId11" w:history="1">
        <w:r w:rsidRPr="00D81CEB">
          <w:rPr>
            <w:rStyle w:val="Hipervnculo"/>
          </w:rPr>
          <w:t>artículo 140</w:t>
        </w:r>
      </w:hyperlink>
      <w:r>
        <w:t xml:space="preserve"> del Estatuto Tributario n</w:t>
      </w:r>
      <w:r w:rsidRPr="00D81CEB">
        <w:t>acional.</w:t>
      </w:r>
    </w:p>
    <w:p w:rsidR="00D81CEB" w:rsidRPr="00D81CEB" w:rsidRDefault="00D81CEB" w:rsidP="00D81CEB">
      <w:r w:rsidRPr="00D81CEB">
        <w:lastRenderedPageBreak/>
        <w:t xml:space="preserve">Sobre el asunto, cabe recordar que la </w:t>
      </w:r>
      <w:hyperlink r:id="rId12" w:history="1">
        <w:r w:rsidRPr="00D81CEB">
          <w:rPr>
            <w:rStyle w:val="Hipervnculo"/>
          </w:rPr>
          <w:t>Ley 1314 de 2009</w:t>
        </w:r>
      </w:hyperlink>
      <w:r w:rsidRPr="00D81CEB">
        <w:t xml:space="preserve"> elevó a nivel legal la premisa de la separación entre la contabilidad tributaria y la contabilidad</w:t>
      </w:r>
      <w:r>
        <w:t xml:space="preserve"> </w:t>
      </w:r>
      <w:r w:rsidRPr="00D81CEB">
        <w:t>financiera afirmando:</w:t>
      </w:r>
    </w:p>
    <w:p w:rsidR="00D81CEB" w:rsidRPr="00D81CEB" w:rsidRDefault="00D81CEB" w:rsidP="00D81CEB">
      <w:r w:rsidRPr="00D81CEB">
        <w:t>“</w:t>
      </w:r>
      <w:r w:rsidRPr="00D81CEB">
        <w:rPr>
          <w:i/>
        </w:rPr>
        <w:t>En su contabilidad y en sus estados financieros, los entes económicos harán los reconocimientos, las revelaciones y conciliaciones previstas en las normas de contabilidad y de información financiera</w:t>
      </w:r>
      <w:r w:rsidRPr="00D81CEB">
        <w:t>.”</w:t>
      </w:r>
    </w:p>
    <w:p w:rsidR="00D81CEB" w:rsidRPr="00D81CEB" w:rsidRDefault="00D81CEB" w:rsidP="00D81CEB">
      <w:r w:rsidRPr="00D81CEB">
        <w:t>Lo anterior genera distintas preguntas y reflexiones que quisiera proponer, con respecto a la futura aplicación de las NIIF o la NIIF para las PYMES en Colombia.</w:t>
      </w:r>
    </w:p>
    <w:p w:rsidR="00D81CEB" w:rsidRPr="00D81CEB" w:rsidRDefault="00D81CEB" w:rsidP="00D81CEB">
      <w:pPr>
        <w:numPr>
          <w:ilvl w:val="0"/>
          <w:numId w:val="41"/>
        </w:numPr>
      </w:pPr>
      <w:r w:rsidRPr="00D81CEB">
        <w:t xml:space="preserve">Considerando que ni la NIC 16 ni la sección 17 de la NIIF para las PYMES prescriben vidas útiles específicas a utilizar para efectos de la presentación de reportes financieros ¿Qué hará que las compañías empiecen a diferenciar la depreciación contable y la depreciación fiscal? </w:t>
      </w:r>
    </w:p>
    <w:p w:rsidR="00D81CEB" w:rsidRPr="00D81CEB" w:rsidRDefault="00D81CEB" w:rsidP="00D81CEB">
      <w:pPr>
        <w:numPr>
          <w:ilvl w:val="0"/>
          <w:numId w:val="41"/>
        </w:numPr>
      </w:pPr>
      <w:r w:rsidRPr="00D81CEB">
        <w:t xml:space="preserve">Si hoy es perfectamente posible ¿Por qué no se hace tal distinción? </w:t>
      </w:r>
    </w:p>
    <w:p w:rsidR="00D81CEB" w:rsidRPr="00D81CEB" w:rsidRDefault="00D81CEB" w:rsidP="00D81CEB">
      <w:pPr>
        <w:numPr>
          <w:ilvl w:val="0"/>
          <w:numId w:val="41"/>
        </w:numPr>
      </w:pPr>
      <w:r w:rsidRPr="00D81CEB">
        <w:t xml:space="preserve">¿Llegaremos a unos estados financieros que dicen cumplir las NIIF pero en </w:t>
      </w:r>
      <w:r w:rsidR="00FF40BB">
        <w:t>los cuales</w:t>
      </w:r>
      <w:r w:rsidRPr="00D81CEB">
        <w:t xml:space="preserve"> l</w:t>
      </w:r>
      <w:bookmarkStart w:id="0" w:name="_GoBack"/>
      <w:bookmarkEnd w:id="0"/>
      <w:r w:rsidRPr="00D81CEB">
        <w:t xml:space="preserve">os activos se deprecian utilizando vidas útiles, métodos y otros criterios fiscales? </w:t>
      </w:r>
    </w:p>
    <w:p w:rsidR="00D81CEB" w:rsidRPr="00D81CEB" w:rsidRDefault="00D81CEB" w:rsidP="00D81CEB">
      <w:pPr>
        <w:numPr>
          <w:ilvl w:val="0"/>
          <w:numId w:val="41"/>
        </w:numPr>
      </w:pPr>
      <w:r w:rsidRPr="00D81CEB">
        <w:t>¿No será que seguimos enseñando reglas de contabilidad tributaria como si pertenecieran a la contabilidad financiera?</w:t>
      </w:r>
    </w:p>
    <w:p w:rsidR="006F3696" w:rsidRPr="00D81CEB" w:rsidRDefault="00D81CEB" w:rsidP="00D81CEB">
      <w:pPr>
        <w:jc w:val="right"/>
      </w:pPr>
      <w:r w:rsidRPr="00D81CEB">
        <w:rPr>
          <w:i/>
        </w:rPr>
        <w:t>Edgar Emilio Salazar Baquero</w:t>
      </w:r>
    </w:p>
    <w:sectPr w:rsidR="006F3696" w:rsidRPr="00D81CEB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51" w:rsidRDefault="00625B51" w:rsidP="00EE7812">
      <w:pPr>
        <w:spacing w:after="0" w:line="240" w:lineRule="auto"/>
      </w:pPr>
      <w:r>
        <w:separator/>
      </w:r>
    </w:p>
  </w:endnote>
  <w:endnote w:type="continuationSeparator" w:id="0">
    <w:p w:rsidR="00625B51" w:rsidRDefault="00625B5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Taffy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51" w:rsidRDefault="00625B51" w:rsidP="00EE7812">
      <w:pPr>
        <w:spacing w:after="0" w:line="240" w:lineRule="auto"/>
      </w:pPr>
      <w:r>
        <w:separator/>
      </w:r>
    </w:p>
  </w:footnote>
  <w:footnote w:type="continuationSeparator" w:id="0">
    <w:p w:rsidR="00625B51" w:rsidRDefault="00625B5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8268C4">
      <w:t>7</w:t>
    </w:r>
    <w:r w:rsidR="00D81CEB">
      <w:t>9</w:t>
    </w:r>
    <w:r w:rsidR="009D09BB">
      <w:t xml:space="preserve">, </w:t>
    </w:r>
    <w:r w:rsidR="00315CC1">
      <w:t>septiembre</w:t>
    </w:r>
    <w:r w:rsidR="00E00D55">
      <w:t xml:space="preserve"> </w:t>
    </w:r>
    <w:r w:rsidR="00D81CEB">
      <w:t>24</w:t>
    </w:r>
    <w:r w:rsidR="0005771D">
      <w:t xml:space="preserve"> </w:t>
    </w:r>
    <w:r w:rsidR="0080786C">
      <w:t>de 201</w:t>
    </w:r>
    <w:r w:rsidR="00297D4C">
      <w:t>2</w:t>
    </w:r>
  </w:p>
  <w:p w:rsidR="0046164F" w:rsidRDefault="00625B5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abstractNum w:abstractNumId="0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3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6"/>
  </w:num>
  <w:num w:numId="7">
    <w:abstractNumId w:val="37"/>
  </w:num>
  <w:num w:numId="8">
    <w:abstractNumId w:val="17"/>
  </w:num>
  <w:num w:numId="9">
    <w:abstractNumId w:val="6"/>
  </w:num>
  <w:num w:numId="10">
    <w:abstractNumId w:val="24"/>
  </w:num>
  <w:num w:numId="11">
    <w:abstractNumId w:val="27"/>
  </w:num>
  <w:num w:numId="12">
    <w:abstractNumId w:val="1"/>
  </w:num>
  <w:num w:numId="13">
    <w:abstractNumId w:val="10"/>
  </w:num>
  <w:num w:numId="14">
    <w:abstractNumId w:val="12"/>
  </w:num>
  <w:num w:numId="15">
    <w:abstractNumId w:val="23"/>
  </w:num>
  <w:num w:numId="16">
    <w:abstractNumId w:val="8"/>
  </w:num>
  <w:num w:numId="17">
    <w:abstractNumId w:val="5"/>
  </w:num>
  <w:num w:numId="18">
    <w:abstractNumId w:val="33"/>
  </w:num>
  <w:num w:numId="19">
    <w:abstractNumId w:val="14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5"/>
  </w:num>
  <w:num w:numId="25">
    <w:abstractNumId w:val="2"/>
  </w:num>
  <w:num w:numId="26">
    <w:abstractNumId w:val="16"/>
  </w:num>
  <w:num w:numId="27">
    <w:abstractNumId w:val="29"/>
  </w:num>
  <w:num w:numId="28">
    <w:abstractNumId w:val="30"/>
  </w:num>
  <w:num w:numId="29">
    <w:abstractNumId w:val="28"/>
  </w:num>
  <w:num w:numId="30">
    <w:abstractNumId w:val="32"/>
  </w:num>
  <w:num w:numId="31">
    <w:abstractNumId w:val="4"/>
  </w:num>
  <w:num w:numId="32">
    <w:abstractNumId w:val="38"/>
  </w:num>
  <w:num w:numId="33">
    <w:abstractNumId w:val="11"/>
  </w:num>
  <w:num w:numId="34">
    <w:abstractNumId w:val="39"/>
  </w:num>
  <w:num w:numId="35">
    <w:abstractNumId w:val="22"/>
  </w:num>
  <w:num w:numId="36">
    <w:abstractNumId w:val="21"/>
  </w:num>
  <w:num w:numId="37">
    <w:abstractNumId w:val="26"/>
  </w:num>
  <w:num w:numId="38">
    <w:abstractNumId w:val="9"/>
  </w:num>
  <w:num w:numId="39">
    <w:abstractNumId w:val="13"/>
  </w:num>
  <w:num w:numId="40">
    <w:abstractNumId w:val="0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A71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358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B44"/>
    <w:rsid w:val="00155EFD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31A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310F"/>
    <w:rsid w:val="001A3AEB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135"/>
    <w:rsid w:val="001D0798"/>
    <w:rsid w:val="001D081B"/>
    <w:rsid w:val="001D09A6"/>
    <w:rsid w:val="001D0CC2"/>
    <w:rsid w:val="001D1997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534"/>
    <w:rsid w:val="002B4B1B"/>
    <w:rsid w:val="002B4DB1"/>
    <w:rsid w:val="002B56D0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138F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03E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1B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36CE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AB9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076DA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6E5"/>
    <w:rsid w:val="00623D00"/>
    <w:rsid w:val="0062429E"/>
    <w:rsid w:val="006247DC"/>
    <w:rsid w:val="006251EA"/>
    <w:rsid w:val="00625266"/>
    <w:rsid w:val="0062588D"/>
    <w:rsid w:val="00625B51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57F"/>
    <w:rsid w:val="006458DE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5E9A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3E5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0FE2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96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29E9"/>
    <w:rsid w:val="00713224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44F3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561"/>
    <w:rsid w:val="007818D2"/>
    <w:rsid w:val="00781B4F"/>
    <w:rsid w:val="00781C28"/>
    <w:rsid w:val="00782C1E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44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5CE6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094"/>
    <w:rsid w:val="0095178A"/>
    <w:rsid w:val="00951D59"/>
    <w:rsid w:val="00952DBD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662F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6490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9E9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17A93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3DFD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616F"/>
    <w:rsid w:val="00B3684F"/>
    <w:rsid w:val="00B373EC"/>
    <w:rsid w:val="00B379C4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804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48F"/>
    <w:rsid w:val="00BA1A9A"/>
    <w:rsid w:val="00BA1ABA"/>
    <w:rsid w:val="00BA1E20"/>
    <w:rsid w:val="00BA21D3"/>
    <w:rsid w:val="00BA263F"/>
    <w:rsid w:val="00BA3103"/>
    <w:rsid w:val="00BA330B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EB8"/>
    <w:rsid w:val="00BD555A"/>
    <w:rsid w:val="00BD577C"/>
    <w:rsid w:val="00BD6C0F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23A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3C4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AC"/>
    <w:rsid w:val="00C87ECF"/>
    <w:rsid w:val="00C87EED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340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5C7"/>
    <w:rsid w:val="00D357C5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78E9"/>
    <w:rsid w:val="00DE7FB1"/>
    <w:rsid w:val="00DF006D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323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36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55D"/>
    <w:rsid w:val="00F90833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3037"/>
    <w:rsid w:val="00F93187"/>
    <w:rsid w:val="00F931C6"/>
    <w:rsid w:val="00F936A6"/>
    <w:rsid w:val="00F93922"/>
    <w:rsid w:val="00F93CA0"/>
    <w:rsid w:val="00F93D04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2009-ley-131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an.gov.co/dian/15servicios.nsf/0108fdc3639d83ff05256f0b006abb3d/3ac44fe19b8b638a05256f0c006cefc3?OpenDocume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an.gov.co/dian/15servicios.nsf/0108fdc3639d83ff05256f0b006abb3d/114d995f7729e36905256f0c006b4e5e?OpenDocum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510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94352-63F2-47FC-B5B6-82A5FEC4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460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3</cp:revision>
  <cp:lastPrinted>2011-08-23T16:28:00Z</cp:lastPrinted>
  <dcterms:created xsi:type="dcterms:W3CDTF">2012-09-24T13:56:00Z</dcterms:created>
  <dcterms:modified xsi:type="dcterms:W3CDTF">2012-09-24T14:07:00Z</dcterms:modified>
</cp:coreProperties>
</file>