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D625" w14:textId="0AD3B906" w:rsidR="00D73B97" w:rsidRPr="00D73B97" w:rsidRDefault="00D73B97" w:rsidP="00D73B97">
      <w:pPr>
        <w:keepNext/>
        <w:framePr w:dropCap="drop" w:lines="3" w:wrap="around" w:vAnchor="text" w:hAnchor="text"/>
        <w:spacing w:after="0" w:line="926" w:lineRule="exact"/>
        <w:textAlignment w:val="baseline"/>
        <w:rPr>
          <w:position w:val="-9"/>
          <w:sz w:val="123"/>
        </w:rPr>
      </w:pPr>
      <w:r w:rsidRPr="00D73B97">
        <w:rPr>
          <w:position w:val="-9"/>
          <w:sz w:val="123"/>
        </w:rPr>
        <w:t>E</w:t>
      </w:r>
    </w:p>
    <w:p w14:paraId="36DF00D8" w14:textId="44DD535D" w:rsidR="008B6A2E" w:rsidRDefault="00D73B97" w:rsidP="003472DB">
      <w:r>
        <w:t xml:space="preserve">l 4 de abril de 2017 la </w:t>
      </w:r>
      <w:hyperlink r:id="rId8" w:history="1">
        <w:r w:rsidRPr="0000593F">
          <w:rPr>
            <w:rStyle w:val="Hyperlink"/>
          </w:rPr>
          <w:t>Sala de Consulta y Servicio Civil del Consejo de Estado</w:t>
        </w:r>
      </w:hyperlink>
      <w:r>
        <w:t xml:space="preserve"> respondió unos interrogantes que le formuló la Ministra de Comercio, Industria y Turismo sobre la </w:t>
      </w:r>
      <w:hyperlink r:id="rId9" w:history="1">
        <w:r w:rsidRPr="00D73B97">
          <w:rPr>
            <w:rStyle w:val="Hyperlink"/>
          </w:rPr>
          <w:t>Ley 1314 de 2009</w:t>
        </w:r>
      </w:hyperlink>
      <w:r>
        <w:t xml:space="preserve">, </w:t>
      </w:r>
      <w:r w:rsidR="003472DB">
        <w:t>providencia a la que nos venimos refiriendo.</w:t>
      </w:r>
    </w:p>
    <w:p w14:paraId="79D3FB56" w14:textId="4ADDA856" w:rsidR="00A85D2C" w:rsidRDefault="00A85D2C" w:rsidP="003472DB">
      <w:r>
        <w:t>A pesar de las precisiones de la Sala sobre la naturaleza de las normas expedidas con fundamento en la citada ley, el Gobierno ha seguido predicando que se trata de normas reglamentarias.</w:t>
      </w:r>
      <w:r w:rsidR="00F22DBE">
        <w:t xml:space="preserve"> Se lee en la providencia: “</w:t>
      </w:r>
      <w:r w:rsidR="00F22DBE" w:rsidRPr="00F22DBE">
        <w:rPr>
          <w:i/>
          <w:iCs/>
        </w:rPr>
        <w:t>Se colige de lo anterior que los decretos que se han dictado hasta el momento, incluyendo el Decreto 2420 de 2015 (denominado “Único Reglamentario”), para establecer las normas de contabilidad, de información financiera y de aseguramiento de la información que deben regir en Colombia, no tienen propiamente la naturaleza jurídica ni la jerarquía de “decretos reglamentarios”, como equivocadamente se les viene denominando</w:t>
      </w:r>
      <w:r w:rsidR="00F22DBE" w:rsidRPr="00F22DBE">
        <w:t>.</w:t>
      </w:r>
      <w:r w:rsidR="00F22DBE">
        <w:t>”</w:t>
      </w:r>
    </w:p>
    <w:p w14:paraId="348FC921" w14:textId="044F3FFE" w:rsidR="00E0136C" w:rsidRDefault="00E0136C" w:rsidP="003472DB">
      <w:r>
        <w:t>Semejante precisión lleva a una de las afirmaciones claves del concepto: “</w:t>
      </w:r>
      <w:r w:rsidRPr="00E0136C">
        <w:rPr>
          <w:i/>
          <w:iCs/>
        </w:rPr>
        <w:t xml:space="preserve">Sin embargo, si no se trata de decretos reglamentarios, sino de decretos que contienen las regulaciones necesarias para ejercer la intervención estatal en los ámbitos de la contabilidad, la información financiera y el aseguramiento de la información, la Sala no observa, en principio, impedimento jurídico alguno para que los citados decretos, en desarrollo de la facultad constitucional de intervención estatal en la economía, puedan modificar, adicionar o derogar normas contenidas en decretos con fuerza de ley e, incluso, en leyes ordinarias, pues están habilitadas y autorizadas por una ley </w:t>
      </w:r>
      <w:r w:rsidRPr="00E0136C">
        <w:rPr>
          <w:i/>
          <w:iCs/>
        </w:rPr>
        <w:t>posterior. Lo anterior, siempre que las nuevas disposiciones que se expidan respeten y se ajusten a los mandatos de la Ley 1314 y, obviamente, de la Constitución Política</w:t>
      </w:r>
      <w:r w:rsidRPr="00E0136C">
        <w:t>.</w:t>
      </w:r>
      <w:r>
        <w:t>”</w:t>
      </w:r>
    </w:p>
    <w:p w14:paraId="6F56AF83" w14:textId="6A5AFACE" w:rsidR="00E0136C" w:rsidRDefault="00AC3778" w:rsidP="003472DB">
      <w:r>
        <w:t>A renglón seguido la Sala determina: “</w:t>
      </w:r>
      <w:r w:rsidRPr="00EB7F5F">
        <w:rPr>
          <w:i/>
          <w:iCs/>
        </w:rPr>
        <w:t>Sin embargo, esta conclusión no es absoluta, pues estaría limitada por aquellas materias que son de estricta reserva legal, conforme a lo dispuesto por la Carta Política, entre las cuales se destacan las siguientes: ―(i) La expedición, derogación y modificación de los códigos (…) ―(</w:t>
      </w:r>
      <w:proofErr w:type="spellStart"/>
      <w:r w:rsidRPr="00EB7F5F">
        <w:rPr>
          <w:i/>
          <w:iCs/>
        </w:rPr>
        <w:t>ii</w:t>
      </w:r>
      <w:proofErr w:type="spellEnd"/>
      <w:r w:rsidRPr="00EB7F5F">
        <w:rPr>
          <w:i/>
          <w:iCs/>
        </w:rPr>
        <w:t>) La creación, modificación o eliminación de tributos (…) ―(</w:t>
      </w:r>
      <w:proofErr w:type="spellStart"/>
      <w:r w:rsidRPr="00EB7F5F">
        <w:rPr>
          <w:i/>
          <w:iCs/>
        </w:rPr>
        <w:t>iii</w:t>
      </w:r>
      <w:proofErr w:type="spellEnd"/>
      <w:r w:rsidRPr="00EB7F5F">
        <w:rPr>
          <w:i/>
          <w:iCs/>
        </w:rPr>
        <w:t>) De acuerdo con la jurisprudencia constitucional, la expedición de los “códigos de ética”, que forman parte de la reglamentación del ejercicio de las diferentes profesiones y oficios</w:t>
      </w:r>
      <w:r w:rsidR="00EB7F5F" w:rsidRPr="00EB7F5F">
        <w:rPr>
          <w:i/>
          <w:iCs/>
        </w:rPr>
        <w:t xml:space="preserve"> (…)</w:t>
      </w:r>
      <w:r w:rsidR="00EB7F5F">
        <w:t>”</w:t>
      </w:r>
    </w:p>
    <w:p w14:paraId="3F54A20E" w14:textId="05FFF170" w:rsidR="00E173F6" w:rsidRDefault="00E173F6" w:rsidP="003472DB">
      <w:r>
        <w:t>Por otra parte el fallo dice: “</w:t>
      </w:r>
      <w:r w:rsidRPr="00E173F6">
        <w:rPr>
          <w:i/>
          <w:iCs/>
        </w:rPr>
        <w:t>Dado lo anterior, la Sala no descarta que normas contables, de información financiera o de aseguramiento de la información anteriores, como algunas de las contenidas en el Decreto 2649 de 1993, continúen rigiendo aun después de la entrada en vigencia plena de las nuevas disposiciones para todas las empresas o entes económicos, en la medida en que existan asuntos o circunstancias que no queden regulados por las nuevas normas, pero que sí lo estén por las anteriores.</w:t>
      </w:r>
      <w:r>
        <w:t>”</w:t>
      </w:r>
    </w:p>
    <w:p w14:paraId="46DE0B56" w14:textId="3E9460B3" w:rsidR="00365083" w:rsidRDefault="00365083" w:rsidP="003472DB">
      <w:r>
        <w:t>Nosotros hemos puesto de presente la autonomía de la ciencia contable, tanto conceptual como técnicamente. Puede que alguna disposición deje de tener naturaleza legal, pero podría conservar su pertenencia a dicha ciencia.</w:t>
      </w:r>
    </w:p>
    <w:p w14:paraId="5C1C6F7B" w14:textId="27E27259" w:rsidR="008B6A2E" w:rsidRPr="0099213A" w:rsidRDefault="008B6A2E" w:rsidP="008B6A2E">
      <w:pPr>
        <w:jc w:val="right"/>
      </w:pPr>
      <w:r w:rsidRPr="003C4ED4">
        <w:rPr>
          <w:i/>
          <w:iCs/>
        </w:rPr>
        <w:t>Hernando Bermúdez Gómez</w:t>
      </w:r>
    </w:p>
    <w:sectPr w:rsidR="008B6A2E" w:rsidRPr="0099213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5673" w14:textId="77777777" w:rsidR="00C13C05" w:rsidRDefault="00C13C05" w:rsidP="00EE7812">
      <w:pPr>
        <w:spacing w:after="0" w:line="240" w:lineRule="auto"/>
      </w:pPr>
      <w:r>
        <w:separator/>
      </w:r>
    </w:p>
  </w:endnote>
  <w:endnote w:type="continuationSeparator" w:id="0">
    <w:p w14:paraId="59AA65DE" w14:textId="77777777" w:rsidR="00C13C05" w:rsidRDefault="00C13C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0B92" w14:textId="77777777" w:rsidR="00C13C05" w:rsidRDefault="00C13C05" w:rsidP="00EE7812">
      <w:pPr>
        <w:spacing w:after="0" w:line="240" w:lineRule="auto"/>
      </w:pPr>
      <w:r>
        <w:separator/>
      </w:r>
    </w:p>
  </w:footnote>
  <w:footnote w:type="continuationSeparator" w:id="0">
    <w:p w14:paraId="31EC0913" w14:textId="77777777" w:rsidR="00C13C05" w:rsidRDefault="00C13C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B7C267C" w:rsidR="00934244" w:rsidRDefault="0000261B" w:rsidP="00613BC8">
    <w:pPr>
      <w:pStyle w:val="Header"/>
      <w:tabs>
        <w:tab w:val="left" w:pos="2580"/>
        <w:tab w:val="left" w:pos="2985"/>
      </w:tabs>
      <w:spacing w:line="276" w:lineRule="auto"/>
      <w:jc w:val="right"/>
    </w:pPr>
    <w:r>
      <w:t>Número 5</w:t>
    </w:r>
    <w:r w:rsidR="00825D25">
      <w:t>80</w:t>
    </w:r>
    <w:r w:rsidR="00A85D2C">
      <w:t>8</w:t>
    </w:r>
    <w:r>
      <w:t xml:space="preserve">, </w:t>
    </w:r>
    <w:r w:rsidR="0099213A">
      <w:t>3 de mayo</w:t>
    </w:r>
    <w:r>
      <w:t xml:space="preserve"> de 202</w:t>
    </w:r>
    <w:r w:rsidR="00461A09">
      <w:t>1</w:t>
    </w:r>
  </w:p>
  <w:p w14:paraId="29566F03" w14:textId="486D5996" w:rsidR="0000261B" w:rsidRDefault="00C13C0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DE6"/>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6FA9"/>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5"/>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E2292-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2021-04-30T19:18:00Z</dcterms:created>
  <dcterms:modified xsi:type="dcterms:W3CDTF">2021-04-30T19:18:00Z</dcterms:modified>
</cp:coreProperties>
</file>