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C235" w14:textId="52D712AC" w:rsidR="00AA5DC0" w:rsidRPr="00AA5DC0" w:rsidRDefault="00AA5DC0" w:rsidP="00AA5DC0">
      <w:pPr>
        <w:keepNext/>
        <w:framePr w:dropCap="drop" w:lines="3" w:wrap="around" w:vAnchor="text" w:hAnchor="text"/>
        <w:spacing w:after="0" w:line="926" w:lineRule="exact"/>
        <w:textAlignment w:val="baseline"/>
        <w:rPr>
          <w:position w:val="-8"/>
          <w:sz w:val="123"/>
        </w:rPr>
      </w:pPr>
      <w:r w:rsidRPr="00AA5DC0">
        <w:rPr>
          <w:position w:val="-8"/>
          <w:sz w:val="123"/>
        </w:rPr>
        <w:t>R</w:t>
      </w:r>
    </w:p>
    <w:p w14:paraId="0544F983" w14:textId="28237D38" w:rsidR="0028679F" w:rsidRDefault="00AA5DC0" w:rsidP="00AA5DC0">
      <w:r>
        <w:t xml:space="preserve">eiteradamente hemos censurado la poca importancia que los programas de contaduría están dando a los sistemas de información, lo que se prueba por la ausencia de laboratorios, esto es, equipos y programas especializados en tales sistemas, más programas de manejo y análisis de datos, junto con herramientas de inteligencia artificial. </w:t>
      </w:r>
      <w:r w:rsidRPr="00AA5DC0">
        <w:t xml:space="preserve">Hassan Damerji &amp; Anwar Salimi (2021) </w:t>
      </w:r>
      <w:r>
        <w:t xml:space="preserve">en su artículo </w:t>
      </w:r>
      <w:hyperlink r:id="rId8" w:history="1">
        <w:r w:rsidRPr="00AA5DC0">
          <w:rPr>
            <w:rStyle w:val="Hyperlink"/>
            <w:i/>
            <w:iCs/>
          </w:rPr>
          <w:t>Mediating effect of use perceptions on technology readiness and adoption of artificial intelligence in accounting</w:t>
        </w:r>
      </w:hyperlink>
      <w:r w:rsidRPr="00AA5DC0">
        <w:t xml:space="preserve">, </w:t>
      </w:r>
      <w:r>
        <w:t xml:space="preserve">publicado por </w:t>
      </w:r>
      <w:r w:rsidRPr="00AA5DC0">
        <w:rPr>
          <w:i/>
          <w:iCs/>
        </w:rPr>
        <w:t>Accounting Education</w:t>
      </w:r>
      <w:r w:rsidRPr="00AA5DC0">
        <w:t xml:space="preserve">, 30:2, 107-130, </w:t>
      </w:r>
      <w:r>
        <w:t>concluyeron</w:t>
      </w:r>
      <w:r w:rsidRPr="00AA5DC0">
        <w:t xml:space="preserve">: </w:t>
      </w:r>
      <w:r>
        <w:t>“</w:t>
      </w:r>
      <w:r w:rsidRPr="00AA5DC0">
        <w:rPr>
          <w:i/>
          <w:iCs/>
        </w:rPr>
        <w:t xml:space="preserve">El propósito del estudio fue examinar el efecto mediador de la facilidad de uso percibida (PEOU) y la utilidad percibida (PU) en la relación entre el nivel de preparación tecnológica de los estudiantes de contabilidad y la adopción tecnológica de la inteligencia artificial. El investigador concluyó que es fundamental que las universidades determinen la preparación de los estudiantes de contabilidad para adoptar estas tecnologías de vanguardia. El modelo de mediación de procesos que se utilizó ha demostrado ser un predictor eficaz del comportamiento de adopción de tecnología de la inteligencia artificial por parte de los estudiantes de contabilidad y, por lo tanto, debe formar una parte importante de la introducción de cualquier nuevo producto o servicio tecnológico basado en inteligencia artificial o pedagogía en una institución académica. A través de la investigación realizada utilizando un modelo de mediación de procesos, las universidades pueden identificar de manera efectiva los factores que median la relación entre la preparación tecnológica y la adopción de tecnología de </w:t>
      </w:r>
      <w:r w:rsidRPr="00AA5DC0">
        <w:rPr>
          <w:i/>
          <w:iCs/>
        </w:rPr>
        <w:t>inteligencia artificial de sus estudiantes de contabilidad. ―Con esta información a mano, se pueden desarrollar estrategias para superar las barreras (incomodidad e inseguridad) y mejorar los impulsores (optimismo e innovación) de la adopción de la inteligencia artificial. Del mismo modo, las universidades podrán determinar la combinación correcta de herramientas PU y PEOU que pueden mejorar la adopción de la inteligencia artificial por parte de los estudiantes de contabilidad. Con toda esta información disponible, las universidades pueden determinar la idoneidad de las tecnologías de inteligencia artificial en los Estados Unidos y a nivel mundial y diseñar estrategias para mejorar la adopción de la inteligencia artificial por parte de los estudiantes de contabilidad para garantizar que sus beneficios potenciales se realicen a medida que se embarcan en sus carreras en contabilidad. y auditoría. El estudio proporcionó evidencia de que las percepciones de los usuarios median la relación entre la preparación tecnológica de los estudiantes de contabilidad y la adopción tecnológica de la inteligencia artificial</w:t>
      </w:r>
      <w:r>
        <w:t>.”</w:t>
      </w:r>
    </w:p>
    <w:p w14:paraId="4A9694C6" w14:textId="195823D4" w:rsidR="00AA5DC0" w:rsidRDefault="00AA5DC0" w:rsidP="00AA5DC0">
      <w:r>
        <w:t>Un hallazgo sencillo indica que entre más se conoce la tecnología más se le usa, y entre más se utiliza mejores resultados se obtienen, beneficiando a los clientes, a la comunidad que recibe los informes y a los profesionales de la contaduría, tanto preparadores como aseguradores. Mientras los programas colombianos no hagan fuertes inversiones en esta materia cada vez su formación será más anticuada y menos útil.</w:t>
      </w:r>
    </w:p>
    <w:p w14:paraId="3EF2AB2B" w14:textId="56AF2CD7" w:rsidR="00AA5DC0" w:rsidRPr="00AA5DC0" w:rsidRDefault="00AA5DC0" w:rsidP="00AA5DC0">
      <w:pPr>
        <w:jc w:val="right"/>
      </w:pPr>
      <w:r w:rsidRPr="003C4ED4">
        <w:rPr>
          <w:i/>
          <w:iCs/>
        </w:rPr>
        <w:t>Hernando Bermúdez Gómez</w:t>
      </w:r>
    </w:p>
    <w:sectPr w:rsidR="00AA5DC0" w:rsidRPr="00AA5DC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9EB9" w14:textId="77777777" w:rsidR="00AC29CE" w:rsidRDefault="00AC29CE" w:rsidP="00EE7812">
      <w:pPr>
        <w:spacing w:after="0" w:line="240" w:lineRule="auto"/>
      </w:pPr>
      <w:r>
        <w:separator/>
      </w:r>
    </w:p>
  </w:endnote>
  <w:endnote w:type="continuationSeparator" w:id="0">
    <w:p w14:paraId="0F96E69F" w14:textId="77777777" w:rsidR="00AC29CE" w:rsidRDefault="00AC29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2139" w14:textId="77777777" w:rsidR="00AC29CE" w:rsidRDefault="00AC29CE" w:rsidP="00EE7812">
      <w:pPr>
        <w:spacing w:after="0" w:line="240" w:lineRule="auto"/>
      </w:pPr>
      <w:r>
        <w:separator/>
      </w:r>
    </w:p>
  </w:footnote>
  <w:footnote w:type="continuationSeparator" w:id="0">
    <w:p w14:paraId="56721E1C" w14:textId="77777777" w:rsidR="00AC29CE" w:rsidRDefault="00AC29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53E27C8E" w:rsidR="00934244" w:rsidRDefault="0000261B" w:rsidP="00613BC8">
    <w:pPr>
      <w:pStyle w:val="Header"/>
      <w:tabs>
        <w:tab w:val="left" w:pos="2580"/>
        <w:tab w:val="left" w:pos="2985"/>
      </w:tabs>
      <w:spacing w:line="276" w:lineRule="auto"/>
      <w:jc w:val="right"/>
    </w:pPr>
    <w:r>
      <w:t>Número 5</w:t>
    </w:r>
    <w:r w:rsidR="00825D25">
      <w:t>8</w:t>
    </w:r>
    <w:r w:rsidR="004E5D16">
      <w:t>3</w:t>
    </w:r>
    <w:r w:rsidR="00AA5DC0">
      <w:t>9</w:t>
    </w:r>
    <w:r>
      <w:t xml:space="preserve">, </w:t>
    </w:r>
    <w:r w:rsidR="00760D41">
      <w:t>1</w:t>
    </w:r>
    <w:r w:rsidR="00E42210">
      <w:t>7</w:t>
    </w:r>
    <w:r w:rsidR="0099213A">
      <w:t xml:space="preserve"> de mayo</w:t>
    </w:r>
    <w:r>
      <w:t xml:space="preserve"> de 202</w:t>
    </w:r>
    <w:r w:rsidR="00461A09">
      <w:t>1</w:t>
    </w:r>
  </w:p>
  <w:p w14:paraId="29566F03" w14:textId="486D5996" w:rsidR="0000261B" w:rsidRDefault="00AC29C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5"/>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9CE"/>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9284.2021.18720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2021-05-14T19:08:00Z</dcterms:created>
  <dcterms:modified xsi:type="dcterms:W3CDTF">2021-05-14T19:08:00Z</dcterms:modified>
</cp:coreProperties>
</file>