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3F" w:rsidRPr="00BA1A3F" w:rsidRDefault="00BA1A3F" w:rsidP="00BA1A3F">
      <w:pPr>
        <w:keepNext/>
        <w:framePr w:dropCap="drop" w:lines="3" w:wrap="around" w:vAnchor="text" w:hAnchor="text"/>
        <w:spacing w:after="0" w:line="926" w:lineRule="exact"/>
        <w:textAlignment w:val="baseline"/>
        <w:rPr>
          <w:rFonts w:cs="Calibri"/>
          <w:position w:val="-8"/>
          <w:sz w:val="122"/>
        </w:rPr>
      </w:pPr>
      <w:r w:rsidRPr="00BA1A3F">
        <w:rPr>
          <w:rFonts w:cs="Calibri"/>
          <w:position w:val="-8"/>
          <w:sz w:val="122"/>
        </w:rPr>
        <w:t>A</w:t>
      </w:r>
    </w:p>
    <w:p w:rsidR="00BA1A3F" w:rsidRPr="00BA1A3F" w:rsidRDefault="00BA1A3F" w:rsidP="00BA1A3F">
      <w:r>
        <w:t xml:space="preserve"> </w:t>
      </w:r>
      <w:proofErr w:type="gramStart"/>
      <w:r>
        <w:t>p</w:t>
      </w:r>
      <w:r w:rsidRPr="00BA1A3F">
        <w:t>ropósito</w:t>
      </w:r>
      <w:proofErr w:type="gramEnd"/>
      <w:r w:rsidRPr="00BA1A3F">
        <w:t xml:space="preserve"> de la celebración de la 39ª Asamblea y Reunión Anual de la </w:t>
      </w:r>
      <w:hyperlink r:id="rId9" w:history="1">
        <w:r w:rsidRPr="00BA1A3F">
          <w:rPr>
            <w:rStyle w:val="Hipervnculo"/>
          </w:rPr>
          <w:t>Federación Iberoame</w:t>
        </w:r>
        <w:r w:rsidRPr="00BA1A3F">
          <w:rPr>
            <w:rStyle w:val="Hipervnculo"/>
          </w:rPr>
          <w:t>r</w:t>
        </w:r>
        <w:r w:rsidRPr="00BA1A3F">
          <w:rPr>
            <w:rStyle w:val="Hipervnculo"/>
          </w:rPr>
          <w:t>icana de Bolsas FIAB</w:t>
        </w:r>
      </w:hyperlink>
      <w:r w:rsidRPr="00BA1A3F">
        <w:t xml:space="preserve"> una magnífica noticia se ha dado en torno al Mercado Integrado Latinoamericano MILA.</w:t>
      </w:r>
      <w:r>
        <w:t xml:space="preserve"> </w:t>
      </w:r>
    </w:p>
    <w:p w:rsidR="00BA1A3F" w:rsidRPr="00BA1A3F" w:rsidRDefault="00BA1A3F" w:rsidP="00BA1A3F">
      <w:r w:rsidRPr="00BA1A3F">
        <w:t>La Bolsa Mexicana de Valores, una de las más grandes de</w:t>
      </w:r>
      <w:r>
        <w:t xml:space="preserve"> </w:t>
      </w:r>
      <w:r w:rsidRPr="00BA1A3F">
        <w:t xml:space="preserve">la región por capitalización y número de inscritos junto con </w:t>
      </w:r>
      <w:r>
        <w:t xml:space="preserve">la de </w:t>
      </w:r>
      <w:r w:rsidRPr="00BA1A3F">
        <w:t xml:space="preserve">Brasil, podría </w:t>
      </w:r>
      <w:hyperlink r:id="rId10" w:history="1">
        <w:r w:rsidRPr="00BA1A3F">
          <w:rPr>
            <w:rStyle w:val="Hipervnculo"/>
          </w:rPr>
          <w:t>anunciar su participación en el mercado integrado de Chile, Colo</w:t>
        </w:r>
        <w:r w:rsidRPr="00BA1A3F">
          <w:rPr>
            <w:rStyle w:val="Hipervnculo"/>
          </w:rPr>
          <w:t>m</w:t>
        </w:r>
        <w:r w:rsidRPr="00BA1A3F">
          <w:rPr>
            <w:rStyle w:val="Hipervnculo"/>
          </w:rPr>
          <w:t>bia y Perú</w:t>
        </w:r>
      </w:hyperlink>
      <w:r w:rsidRPr="00BA1A3F">
        <w:t xml:space="preserve">. </w:t>
      </w:r>
    </w:p>
    <w:p w:rsidR="00BA1A3F" w:rsidRPr="00BA1A3F" w:rsidRDefault="00BA1A3F" w:rsidP="00BA1A3F">
      <w:r w:rsidRPr="00BA1A3F">
        <w:t xml:space="preserve">Este hecho se constituye sin duda en un anuncio de enormes oportunidades para los agentes participantes del mercado, sea cual sea su posición. </w:t>
      </w:r>
    </w:p>
    <w:p w:rsidR="00BA1A3F" w:rsidRPr="00BA1A3F" w:rsidRDefault="00BA1A3F" w:rsidP="00BA1A3F">
      <w:r w:rsidRPr="00BA1A3F">
        <w:t xml:space="preserve">Y es que el comportamiento del mercado de capitales </w:t>
      </w:r>
      <w:r>
        <w:t>ha sido fructífero para el país. R</w:t>
      </w:r>
      <w:r w:rsidRPr="00BA1A3F">
        <w:t xml:space="preserve">ecientemente se informó que uno de los índices más representativos del mercado, el </w:t>
      </w:r>
      <w:hyperlink r:id="rId11" w:history="1">
        <w:r w:rsidRPr="00BA1A3F">
          <w:rPr>
            <w:rStyle w:val="Hipervnculo"/>
          </w:rPr>
          <w:t xml:space="preserve">IGBC, había alcanzado una de sus mayores valorizaciones </w:t>
        </w:r>
        <w:r w:rsidRPr="00BA1A3F">
          <w:rPr>
            <w:rStyle w:val="Hipervnculo"/>
          </w:rPr>
          <w:t>e</w:t>
        </w:r>
        <w:r w:rsidRPr="00BA1A3F">
          <w:rPr>
            <w:rStyle w:val="Hipervnculo"/>
          </w:rPr>
          <w:t>n los años recientes, a pesar del entorno volátil</w:t>
        </w:r>
      </w:hyperlink>
      <w:r w:rsidRPr="00BA1A3F">
        <w:t>, lo cual se traduce en un incremento sustancial de la capitalización bursátil.</w:t>
      </w:r>
    </w:p>
    <w:p w:rsidR="00BA1A3F" w:rsidRPr="00BA1A3F" w:rsidRDefault="00BA1A3F" w:rsidP="00BA1A3F">
      <w:r w:rsidRPr="00BA1A3F">
        <w:t>Sin embar</w:t>
      </w:r>
      <w:r>
        <w:t>go, una noticia del talante de é</w:t>
      </w:r>
      <w:r w:rsidRPr="00BA1A3F">
        <w:t>sta debe causar asombro y también algo de precaución, especialmente por tres factores.</w:t>
      </w:r>
    </w:p>
    <w:p w:rsidR="00BA1A3F" w:rsidRPr="00BA1A3F" w:rsidRDefault="00BA1A3F" w:rsidP="00BA1A3F">
      <w:r w:rsidRPr="00BA1A3F">
        <w:t>La ampliación de un mercado en las proporciones</w:t>
      </w:r>
      <w:r>
        <w:t xml:space="preserve"> </w:t>
      </w:r>
      <w:r w:rsidRPr="00BA1A3F">
        <w:t>que este negocio implica incrementará el flujo de divisas prendiendo la alerta</w:t>
      </w:r>
      <w:r>
        <w:t xml:space="preserve"> </w:t>
      </w:r>
      <w:r w:rsidRPr="00BA1A3F">
        <w:t xml:space="preserve">sobre la revaluación del peso. Es entonces cuando debería esperarse una fuerte reacción de la intervención económica del Banco de la </w:t>
      </w:r>
      <w:r>
        <w:t>R</w:t>
      </w:r>
      <w:r w:rsidRPr="00BA1A3F">
        <w:t>epública, por un lado, y</w:t>
      </w:r>
      <w:r>
        <w:t>,</w:t>
      </w:r>
      <w:r w:rsidRPr="00BA1A3F">
        <w:t xml:space="preserve"> por </w:t>
      </w:r>
      <w:r w:rsidRPr="00BA1A3F">
        <w:lastRenderedPageBreak/>
        <w:t>otro</w:t>
      </w:r>
      <w:r>
        <w:t>,</w:t>
      </w:r>
      <w:r w:rsidRPr="00BA1A3F">
        <w:t xml:space="preserve"> el empleo de mecanismos de cobertura por parte de los empresarios.</w:t>
      </w:r>
    </w:p>
    <w:p w:rsidR="00BA1A3F" w:rsidRPr="00BA1A3F" w:rsidRDefault="00BA1A3F" w:rsidP="00BA1A3F">
      <w:r w:rsidRPr="00BA1A3F">
        <w:t xml:space="preserve">En segundo lugar, un mercado más amplio, </w:t>
      </w:r>
      <w:r w:rsidRPr="00BA1A3F">
        <w:rPr>
          <w:i/>
        </w:rPr>
        <w:t>internacionalizado</w:t>
      </w:r>
      <w:r w:rsidRPr="00BA1A3F">
        <w:t xml:space="preserve">, supondrá que el mismo sea más sensible, más aun </w:t>
      </w:r>
      <w:r>
        <w:t>considerando la situación</w:t>
      </w:r>
      <w:r w:rsidRPr="00BA1A3F">
        <w:t xml:space="preserve"> polític</w:t>
      </w:r>
      <w:r>
        <w:t>a y económica</w:t>
      </w:r>
      <w:r w:rsidRPr="00BA1A3F">
        <w:t xml:space="preserve"> de Europa,</w:t>
      </w:r>
      <w:r>
        <w:t xml:space="preserve"> </w:t>
      </w:r>
      <w:r w:rsidRPr="00BA1A3F">
        <w:t xml:space="preserve">pues a pesar de que el riesgo para los inversionistas podrá distribuirse en un mayor número de opciones, también implica que las volatilidades de precios en el extranjero puedan perjudicar el perfil de riesgo de un inversionista local al percibirse un </w:t>
      </w:r>
      <w:r w:rsidRPr="00BA1A3F">
        <w:rPr>
          <w:i/>
        </w:rPr>
        <w:t xml:space="preserve">contagio </w:t>
      </w:r>
      <w:r w:rsidRPr="00BA1A3F">
        <w:t>más rápido en los mercados.</w:t>
      </w:r>
    </w:p>
    <w:p w:rsidR="00BA1A3F" w:rsidRPr="00BA1A3F" w:rsidRDefault="00BA1A3F" w:rsidP="00BA1A3F">
      <w:r w:rsidRPr="00BA1A3F">
        <w:t>Finalmente, es de destacar que</w:t>
      </w:r>
      <w:r>
        <w:t>,</w:t>
      </w:r>
      <w:r w:rsidRPr="00BA1A3F">
        <w:t xml:space="preserve"> cuando el proyecto de integración latinoamericano inicial estaba por completarse, Perú estuvo a punto de retirarse de tal empresa. Las plataformas electrónicas de cada una de bolsas gen</w:t>
      </w:r>
      <w:r>
        <w:t>eró un sin número de conflictos;</w:t>
      </w:r>
      <w:r w:rsidRPr="00BA1A3F">
        <w:t xml:space="preserve"> podría esperarse que las mismas circunstancias s</w:t>
      </w:r>
      <w:r>
        <w:t>e repitan con la incorporación m</w:t>
      </w:r>
      <w:r w:rsidRPr="00BA1A3F">
        <w:t>exicana</w:t>
      </w:r>
      <w:r>
        <w:t>,</w:t>
      </w:r>
      <w:r w:rsidRPr="00BA1A3F">
        <w:t xml:space="preserve"> a menos de que se tomen las medidas respectivas.</w:t>
      </w:r>
    </w:p>
    <w:p w:rsidR="00BA1A3F" w:rsidRPr="00BA1A3F" w:rsidRDefault="00BA1A3F" w:rsidP="00BA1A3F">
      <w:r w:rsidRPr="00BA1A3F">
        <w:t>Que sea este un buen momento para reflexionar sobre el contexto que rodea la profesión y sobre las habilidades que los profesionales deben tener. El contador debe hacer parte de las decisiones estratégicas de las compañías y entender estas etapas coyunturales</w:t>
      </w:r>
      <w:r w:rsidR="00D8687A">
        <w:t>,</w:t>
      </w:r>
      <w:r w:rsidRPr="00BA1A3F">
        <w:t xml:space="preserve"> sobre todo en materia de riesgo</w:t>
      </w:r>
      <w:r w:rsidR="00D8687A">
        <w:t>,</w:t>
      </w:r>
      <w:r w:rsidRPr="00BA1A3F">
        <w:t xml:space="preserve"> en lo que eventualmente podría denominarse la transición </w:t>
      </w:r>
      <w:r w:rsidR="00496975">
        <w:t>de</w:t>
      </w:r>
      <w:bookmarkStart w:id="0" w:name="_GoBack"/>
      <w:bookmarkEnd w:id="0"/>
      <w:r w:rsidRPr="00BA1A3F">
        <w:t xml:space="preserve"> lo técnico a lo analítico en la revolución contable. </w:t>
      </w:r>
    </w:p>
    <w:p w:rsidR="0034292F" w:rsidRPr="00BA1A3F" w:rsidRDefault="00BA1A3F" w:rsidP="00BA1A3F">
      <w:pPr>
        <w:jc w:val="right"/>
      </w:pPr>
      <w:r w:rsidRPr="00BA1A3F">
        <w:rPr>
          <w:i/>
        </w:rPr>
        <w:t>Juan Carlos Bohórquez Cifuentes</w:t>
      </w:r>
    </w:p>
    <w:sectPr w:rsidR="0034292F" w:rsidRPr="00BA1A3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0DD" w:rsidRDefault="00BB70DD" w:rsidP="00EE7812">
      <w:pPr>
        <w:spacing w:after="0" w:line="240" w:lineRule="auto"/>
      </w:pPr>
      <w:r>
        <w:separator/>
      </w:r>
    </w:p>
  </w:endnote>
  <w:endnote w:type="continuationSeparator" w:id="0">
    <w:p w:rsidR="00BB70DD" w:rsidRDefault="00BB70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0DD" w:rsidRDefault="00BB70DD" w:rsidP="00EE7812">
      <w:pPr>
        <w:spacing w:after="0" w:line="240" w:lineRule="auto"/>
      </w:pPr>
      <w:r>
        <w:separator/>
      </w:r>
    </w:p>
  </w:footnote>
  <w:footnote w:type="continuationSeparator" w:id="0">
    <w:p w:rsidR="00BB70DD" w:rsidRDefault="00BB70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6232CE">
      <w:t>8</w:t>
    </w:r>
    <w:r w:rsidR="00BA1A3F">
      <w:t>5</w:t>
    </w:r>
    <w:r w:rsidR="009D09BB">
      <w:t xml:space="preserve">, </w:t>
    </w:r>
    <w:r w:rsidR="0085456A">
      <w:t>octubre</w:t>
    </w:r>
    <w:r w:rsidR="00E00D55">
      <w:t xml:space="preserve"> </w:t>
    </w:r>
    <w:r w:rsidR="0085456A">
      <w:t>1</w:t>
    </w:r>
    <w:r w:rsidR="0005771D">
      <w:t xml:space="preserve"> </w:t>
    </w:r>
    <w:r w:rsidR="0080786C">
      <w:t>de 201</w:t>
    </w:r>
    <w:r w:rsidR="00297D4C">
      <w:t>2</w:t>
    </w:r>
  </w:p>
  <w:p w:rsidR="0046164F" w:rsidRDefault="00BB70D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39"/>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0598"/>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0D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espectador.com/opinion/columna-376364-relacion-igbc-y-tr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vc.com.co/pps/tibco/portalbvc/Home/NoticiasDetalle?com.tibco.ps.pagesvc.renderParams.sub5d9e2b27_11de9ed172b_-783b7f000001=rp.docURI%3Dpof%253A%252Fcom.tibco.psx.model.cp.Document%252F3a3e0753_139e49bbe4c_-43000a0a600b%26rp.currentDocumentID%3D" TargetMode="External"/><Relationship Id="rId4" Type="http://schemas.microsoft.com/office/2007/relationships/stylesWithEffects" Target="stylesWithEffects.xml"/><Relationship Id="rId9" Type="http://schemas.openxmlformats.org/officeDocument/2006/relationships/hyperlink" Target="http://www.fiabnet.org/es/index.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5F101-7D2C-4300-A7C6-B84B48ED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2012-10-01T12:43:00Z</dcterms:created>
  <dcterms:modified xsi:type="dcterms:W3CDTF">2012-10-01T12:54:00Z</dcterms:modified>
</cp:coreProperties>
</file>