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9F6" w14:textId="7E6BFE9B" w:rsidR="00777BB6" w:rsidRPr="00777BB6" w:rsidRDefault="00777BB6" w:rsidP="00777BB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77BB6">
        <w:rPr>
          <w:position w:val="-9"/>
          <w:sz w:val="123"/>
        </w:rPr>
        <w:t>E</w:t>
      </w:r>
    </w:p>
    <w:p w14:paraId="280D255D" w14:textId="5C65A095" w:rsidR="004A2A86" w:rsidRDefault="00777BB6" w:rsidP="00D327F5">
      <w:r>
        <w:t xml:space="preserve">l objetivo de la </w:t>
      </w:r>
      <w:hyperlink r:id="rId8" w:anchor=":~:text=(julio%2013)-,por%20la%20cual%20se%20regulan%20los%20principios%20y%20normas%20de,responsables%20de%20vigilar%20su%20cumplimiento." w:history="1">
        <w:r w:rsidRPr="00777BB6">
          <w:rPr>
            <w:rStyle w:val="Hyperlink"/>
          </w:rPr>
          <w:t>Ley 1314 de 2009</w:t>
        </w:r>
      </w:hyperlink>
      <w:r>
        <w:t xml:space="preserve"> no es la incorporación de los estándares promulgados por el IASB, IESBA o IAASB. Aunque se nos tilde de repetir, lo que esa norma legal pretende es </w:t>
      </w:r>
      <w:r w:rsidR="005A687E">
        <w:t>“</w:t>
      </w:r>
      <w:r>
        <w:t xml:space="preserve">(…) </w:t>
      </w:r>
      <w:r w:rsidRPr="005A687E">
        <w:rPr>
          <w:i/>
          <w:iCs/>
        </w:rPr>
        <w:t>mejorar la productividad, la competitividad y el desarrollo armónico de la actividad empresarial de las personas naturales y jurídicas, nacionales o extranjeras</w:t>
      </w:r>
      <w:r w:rsidR="005A687E">
        <w:t xml:space="preserve"> (…)”.</w:t>
      </w:r>
    </w:p>
    <w:p w14:paraId="41CE5F34" w14:textId="3D21F337" w:rsidR="005A687E" w:rsidRDefault="005A687E" w:rsidP="00D327F5">
      <w:r>
        <w:t>Aunque hasta ahora el Gobierno</w:t>
      </w:r>
      <w:r w:rsidR="002D0964">
        <w:t xml:space="preserve"> al expedir normas de contabilidad y de información financiera </w:t>
      </w:r>
      <w:r>
        <w:t xml:space="preserve">se ha basado en criterios de tamaño sobre activos, ingresos y número de empleados, la ley citada se remite </w:t>
      </w:r>
      <w:r w:rsidRPr="005A687E">
        <w:t>al volumen de sus activos, de sus ingresos, al número de sus empleados, su tamaño</w:t>
      </w:r>
      <w:r>
        <w:t xml:space="preserve"> (que puede determinarse con otros criterios),</w:t>
      </w:r>
      <w:r w:rsidRPr="005A687E">
        <w:t xml:space="preserve"> a su forma de organización jurídica</w:t>
      </w:r>
      <w:r>
        <w:t xml:space="preserve">, </w:t>
      </w:r>
      <w:r w:rsidRPr="005A687E">
        <w:t>sus circunstancias socioeconómicas</w:t>
      </w:r>
      <w:r>
        <w:t xml:space="preserve">, </w:t>
      </w:r>
      <w:r w:rsidRPr="005A687E">
        <w:t>el sector al que pertenecen</w:t>
      </w:r>
      <w:r>
        <w:t xml:space="preserve"> </w:t>
      </w:r>
      <w:r w:rsidRPr="005A687E">
        <w:t>y el interés público involucrado en su actividad</w:t>
      </w:r>
      <w:r w:rsidR="00B17C7B">
        <w:t xml:space="preserve">, “(…) </w:t>
      </w:r>
      <w:r w:rsidR="00B17C7B" w:rsidRPr="00B17C7B">
        <w:rPr>
          <w:i/>
          <w:iCs/>
        </w:rPr>
        <w:t>para que los requisitos y obligaciones que se establezcan resulten razonables y acordes a tales circunstancias</w:t>
      </w:r>
      <w:r w:rsidR="00B17C7B">
        <w:t xml:space="preserve">.” El CTCP debe tener en cuenta “(…) </w:t>
      </w:r>
      <w:r w:rsidR="00B17C7B" w:rsidRPr="00B17C7B">
        <w:rPr>
          <w:i/>
          <w:iCs/>
        </w:rPr>
        <w:t>la comparación entre el beneficio y el costo que producirían sus proyectos en caso de ser convertidos en normas.</w:t>
      </w:r>
      <w:r w:rsidR="00B17C7B">
        <w:t xml:space="preserve"> (…)”, cuestión sobre la cual no se conocen estudios. Debe abstenerse de apoyar los estándares que “(…) </w:t>
      </w:r>
      <w:r w:rsidR="00B17C7B" w:rsidRPr="00B17C7B">
        <w:rPr>
          <w:i/>
          <w:iCs/>
        </w:rPr>
        <w:t>no resultarían eficaces o apropiados para los entes en Colombia</w:t>
      </w:r>
      <w:r w:rsidR="00B17C7B">
        <w:t xml:space="preserve"> (…)”, lo que vendría a ser comprobado si se hicieran estudios luego del período de implantación, que hasta el momento no han sido difundidos.</w:t>
      </w:r>
    </w:p>
    <w:p w14:paraId="09892885" w14:textId="5B68A1ED" w:rsidR="002D0964" w:rsidRDefault="002D0964" w:rsidP="002D0964">
      <w:r>
        <w:t xml:space="preserve">Finalmente, el Gobierno hizo uso de las facultades que le entregó la </w:t>
      </w:r>
      <w:hyperlink r:id="rId9" w:anchor=":~:text=LEY%201450%20DE%202011&amp;text=(junio%2016)-,por%20la%20cual%20se%20expide%20el,de%20Desarrollo%2C%202010%2D2014.&amp;text=Art%C3%ADculo%201%C2%B0.,Plan%20de%20Inversiones%202011%2D2014." w:history="1">
        <w:r w:rsidRPr="005D65D5">
          <w:rPr>
            <w:rStyle w:val="Hyperlink"/>
          </w:rPr>
          <w:t>Ley 1450 de 2011</w:t>
        </w:r>
      </w:hyperlink>
      <w:r>
        <w:t xml:space="preserve">, que le autorizó para determinar </w:t>
      </w:r>
      <w:r>
        <w:t xml:space="preserve">quienes deben entenderse como pequeña, mediana y gran empresa, pudiendo utilizar uno o varios de los siguientes criterios: ―1. Número de trabajadores totales. ―2. Valor de ventas brutas anuales. ―3. </w:t>
      </w:r>
      <w:proofErr w:type="gramStart"/>
      <w:r>
        <w:t>Valor activos</w:t>
      </w:r>
      <w:proofErr w:type="gramEnd"/>
      <w:r>
        <w:t xml:space="preserve"> totales. Resolvió utilizar solamente el criterio de </w:t>
      </w:r>
      <w:r w:rsidR="00873BA5">
        <w:t>ingresos,</w:t>
      </w:r>
      <w:r>
        <w:t xml:space="preserve"> pero teniendo en cuenta si son entidades dedicadas a la manufactura, </w:t>
      </w:r>
      <w:r w:rsidR="00873BA5">
        <w:t>los servicios o el comercio.</w:t>
      </w:r>
    </w:p>
    <w:p w14:paraId="63175A51" w14:textId="3C833AAD" w:rsidR="002D0964" w:rsidRDefault="00873BA5" w:rsidP="002D0964">
      <w:r>
        <w:t>Desde hace muchísimo tiempo hemos admirado la estructura española que contiene normas generales y especiales. Este debería ser el enfoque en Colombia, como poco a poco está apareciendo en los estándares del IASB.</w:t>
      </w:r>
    </w:p>
    <w:p w14:paraId="116EDF49" w14:textId="7F4018D2" w:rsidR="0019453F" w:rsidRDefault="00CB17E4" w:rsidP="002D0964">
      <w:r>
        <w:t>Mientras no haya claridad sobre cómo las normas de intervención pueden lograr los objetivos enunciados al principio de este escrito, las manifestaciones de la autoridad de normalización y de las de regulación no tendrán bases sólidas.</w:t>
      </w:r>
      <w:r w:rsidR="00F4752E">
        <w:t xml:space="preserve"> La contabilidad no está pensada simplemente para servir de prueba. Este es un uso que tiene dentro de las relaciones jurídicas, pero no es la bondad fundamental.</w:t>
      </w:r>
    </w:p>
    <w:p w14:paraId="59051F55" w14:textId="00571339" w:rsidR="00F4752E" w:rsidRDefault="00F4752E" w:rsidP="002D0964">
      <w:r>
        <w:t>Creemos firmemente que la información empresarial, sometida a procesos de análisis, evaluación e innovación, ayuda a mejorar el desarrollo de las empresas. Los beneficios no se limitan a su capacidad de atraer inversiones o créditos, comprenden también obtener mejores réditos y mayores utilidades.</w:t>
      </w:r>
      <w:r w:rsidR="00785C36">
        <w:t xml:space="preserve"> Hoy se tiene claro que son muchos los factores que llevan al éxito</w:t>
      </w:r>
      <w:r w:rsidR="006014EF">
        <w:t>:</w:t>
      </w:r>
      <w:r w:rsidR="00785C36">
        <w:t xml:space="preserve"> La comunidad, los proveedores, los prestamistas, los empleados, los clien</w:t>
      </w:r>
      <w:r w:rsidR="006014EF">
        <w:t>tes.</w:t>
      </w:r>
    </w:p>
    <w:p w14:paraId="2789178C" w14:textId="0C6AD6E4" w:rsidR="006014EF" w:rsidRPr="00D327F5" w:rsidRDefault="006014EF" w:rsidP="006014EF">
      <w:pPr>
        <w:jc w:val="right"/>
      </w:pPr>
      <w:r w:rsidRPr="003C4ED4">
        <w:rPr>
          <w:i/>
          <w:iCs/>
        </w:rPr>
        <w:t>Hernando Bermúdez Gómez</w:t>
      </w:r>
    </w:p>
    <w:sectPr w:rsidR="006014EF" w:rsidRPr="00D327F5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BAA8" w14:textId="77777777" w:rsidR="00E904FA" w:rsidRDefault="00E904FA" w:rsidP="00EE7812">
      <w:pPr>
        <w:spacing w:after="0" w:line="240" w:lineRule="auto"/>
      </w:pPr>
      <w:r>
        <w:separator/>
      </w:r>
    </w:p>
  </w:endnote>
  <w:endnote w:type="continuationSeparator" w:id="0">
    <w:p w14:paraId="421D8764" w14:textId="77777777" w:rsidR="00E904FA" w:rsidRDefault="00E904F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84DA" w14:textId="77777777" w:rsidR="00E904FA" w:rsidRDefault="00E904FA" w:rsidP="00EE7812">
      <w:pPr>
        <w:spacing w:after="0" w:line="240" w:lineRule="auto"/>
      </w:pPr>
      <w:r>
        <w:separator/>
      </w:r>
    </w:p>
  </w:footnote>
  <w:footnote w:type="continuationSeparator" w:id="0">
    <w:p w14:paraId="225DB842" w14:textId="77777777" w:rsidR="00E904FA" w:rsidRDefault="00E904F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0D753703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825D25">
      <w:t>8</w:t>
    </w:r>
    <w:r w:rsidR="003B4AAD">
      <w:t>5</w:t>
    </w:r>
    <w:r w:rsidR="00D327F5">
      <w:t>9</w:t>
    </w:r>
    <w:r>
      <w:t xml:space="preserve">, </w:t>
    </w:r>
    <w:r w:rsidR="00685573">
      <w:t>24</w:t>
    </w:r>
    <w:r w:rsidR="0099213A">
      <w:t xml:space="preserve"> de mayo</w:t>
    </w:r>
    <w:r>
      <w:t xml:space="preserve"> de 202</w:t>
    </w:r>
    <w:r w:rsidR="00461A09">
      <w:t>1</w:t>
    </w:r>
  </w:p>
  <w:p w14:paraId="29566F03" w14:textId="486D5996" w:rsidR="0000261B" w:rsidRDefault="00E904F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DF3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3AB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4C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49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2B0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3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79F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2F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8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4FA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in.gov.co/viewDocument.asp?ruta=Leyes/16772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80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3466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2021-05-21T22:38:00Z</dcterms:created>
  <dcterms:modified xsi:type="dcterms:W3CDTF">2021-05-21T22:38:00Z</dcterms:modified>
</cp:coreProperties>
</file>