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8F55" w14:textId="7FC19CA6" w:rsidR="002F1679" w:rsidRPr="002F1679" w:rsidRDefault="002F1679" w:rsidP="002F167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F1679">
        <w:rPr>
          <w:position w:val="-9"/>
          <w:sz w:val="123"/>
        </w:rPr>
        <w:t>E</w:t>
      </w:r>
    </w:p>
    <w:p w14:paraId="7E69DE97" w14:textId="0CF543D6" w:rsidR="006D7BC4" w:rsidRDefault="002F1679" w:rsidP="00C104D8">
      <w:r>
        <w:t xml:space="preserve">n nuestro sistema jurídico estrictamente hablando una persona responde por sus propios actos y no por los de los demás. Se puede ser reato </w:t>
      </w:r>
      <w:r w:rsidR="00D2247D">
        <w:t>por la inadecuada supervisión de una persona que se encuentra bajo su cuidado o bajo su dirección. Pero esto es ser responsable por lo que no se hizo y no en lugar de otra persona o por lo realizado por ésta.</w:t>
      </w:r>
    </w:p>
    <w:p w14:paraId="38381A0C" w14:textId="0F94BA57" w:rsidR="00D2247D" w:rsidRDefault="003A7344" w:rsidP="00C104D8">
      <w:r>
        <w:t xml:space="preserve">Según el artículo 41 de la </w:t>
      </w:r>
      <w:hyperlink r:id="rId8" w:history="1">
        <w:r w:rsidRPr="003A7344">
          <w:rPr>
            <w:rStyle w:val="Hyperlink"/>
          </w:rPr>
          <w:t>Ley 43 de 1990</w:t>
        </w:r>
      </w:hyperlink>
      <w:r>
        <w:t xml:space="preserve"> “</w:t>
      </w:r>
      <w:r w:rsidRPr="003A7344">
        <w:rPr>
          <w:i/>
        </w:rPr>
        <w:t>El Contador Público en el ejercicio de las funciones de Revisor Fiscal y/o auditor externo, no es responsable de los actos administrativos de las empresas o personas a las cuales presta sus servicios.</w:t>
      </w:r>
      <w:r>
        <w:t xml:space="preserve">” Por otra parte, de acuerdo con los artículos 208 y 209 del </w:t>
      </w:r>
      <w:hyperlink r:id="rId9" w:history="1">
        <w:r w:rsidRPr="003A7344">
          <w:rPr>
            <w:rStyle w:val="Hyperlink"/>
          </w:rPr>
          <w:t>Código de Comercio</w:t>
        </w:r>
      </w:hyperlink>
      <w:r>
        <w:t>, el revisor fiscal debe informar si “</w:t>
      </w:r>
      <w:r w:rsidRPr="003A7344">
        <w:rPr>
          <w:i/>
        </w:rPr>
        <w:t>las operaciones registradas se ajustan a los estatutos y a las decisiones de la asamblea o junta directiva, en su caso</w:t>
      </w:r>
      <w:r w:rsidRPr="003A7344">
        <w:t>;</w:t>
      </w:r>
      <w:r>
        <w:t>” y si “</w:t>
      </w:r>
      <w:r w:rsidRPr="003A7344">
        <w:rPr>
          <w:i/>
        </w:rPr>
        <w:t>los actos de los administradores de la sociedad se ajustan a los estatutos y a las órdenes o instrucciones de la asamblea o junta de socios</w:t>
      </w:r>
      <w:r>
        <w:t>”. La doctrina ha explicado que el cumplimiento de los estatutos supone el de las normas jurídicas. Finalmente recordemos que según la ley mencionada al principio de este párrafo “</w:t>
      </w:r>
      <w:r w:rsidRPr="003A7344">
        <w:rPr>
          <w:i/>
        </w:rPr>
        <w:t>La atestación o firma de un Contador Público en los actos propios de su profesión hará presumir, salvo prueba en contrario, que el acto respectivo se ajusta a los requisitos legales, lo mismo que a los estatutarios en casos de personas jurídicas.</w:t>
      </w:r>
      <w:r>
        <w:t>”</w:t>
      </w:r>
    </w:p>
    <w:p w14:paraId="57BD6675" w14:textId="1BA17BE9" w:rsidR="003A7344" w:rsidRDefault="003A7344" w:rsidP="00C104D8">
      <w:r>
        <w:t>Para la Contraloría General de la República los dictámenes favorables constituyen un aval sobre las operaciones registradas en ellos.</w:t>
      </w:r>
      <w:r w:rsidR="0083442A">
        <w:t xml:space="preserve"> Así, por ejemplo, según su </w:t>
      </w:r>
      <w:hyperlink r:id="rId10" w:history="1">
        <w:r w:rsidR="0083442A" w:rsidRPr="0083442A">
          <w:rPr>
            <w:rStyle w:val="Hyperlink"/>
          </w:rPr>
          <w:t xml:space="preserve">Comunicado </w:t>
        </w:r>
        <w:r w:rsidR="0083442A" w:rsidRPr="0083442A">
          <w:rPr>
            <w:rStyle w:val="Hyperlink"/>
          </w:rPr>
          <w:t>de Prensa No. 95</w:t>
        </w:r>
      </w:hyperlink>
      <w:r w:rsidR="0083442A" w:rsidRPr="0083442A">
        <w:t xml:space="preserve"> </w:t>
      </w:r>
      <w:r w:rsidR="0083442A">
        <w:t>“</w:t>
      </w:r>
      <w:r w:rsidR="0083442A" w:rsidRPr="0083442A">
        <w:rPr>
          <w:i/>
        </w:rPr>
        <w:t>En forma solidaria con Electricaribe, se falló también con responsabilidad fiscal contra la firma PRICEWATERHOUSECOOPERS LTDA y tres de sus colaboradores, en su calidad de revisores fiscales de la empresa, que avalaron la aplicación incorrecta de dichos recursos, toda vez que con su atestación o su testimonio en tal condición conllevaron a que el Ministerio de Minas y Energía llevara a cabo el giro de los recursos a Electricaribe como canalizador de los mismos.</w:t>
      </w:r>
      <w:r w:rsidR="0083442A">
        <w:t>”</w:t>
      </w:r>
    </w:p>
    <w:p w14:paraId="1D1B5CEF" w14:textId="76EAFC09" w:rsidR="0083442A" w:rsidRDefault="0083442A" w:rsidP="00C104D8">
      <w:r>
        <w:t>No conocemos a fondo el caso, por lo que nos abstenemos de pronunciarnos sobre él. Pero si nos quedamos preocupado</w:t>
      </w:r>
      <w:r w:rsidR="00E0389C">
        <w:t>s</w:t>
      </w:r>
      <w:r>
        <w:t xml:space="preserve"> sobre la posición de la Contraloría. En primer lugar, a pesar de lo indicado, pensamos con gran firmeza que la función de los contadores públicos debe entenderse dentro del marco de su formación, la cual no es tal que permita a estos profesionales actuar como censores jurídicos, calidad que la jurisprudencia les niega.</w:t>
      </w:r>
      <w:r w:rsidR="00E0389C">
        <w:t xml:space="preserve"> En segundo lugar, creemos que la evaluación de su conducta debe realizarse de acuerdo con lo que disponen las normas que rigen su actividad, para el caso las normas de ética y las de aseguramiento de información. En estas se indica cómo deben evaluar el cumplimiento de las normas y qué comunicaciones deben producir en ciertos casos. Como lo hemos planteado en Contrapartida se trata de una evaluación de los requisitos formales de los actos, pero no de su materia o substancia. Finalmente, para reprochar sus conductas debe probarse el dolo o, cuando quepa, su culpa.</w:t>
      </w:r>
    </w:p>
    <w:p w14:paraId="2FD3DE94" w14:textId="46E81C85" w:rsidR="00E0389C" w:rsidRPr="00C104D8" w:rsidRDefault="00E0389C" w:rsidP="00E0389C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E0389C" w:rsidRPr="00C104D8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963B" w14:textId="77777777" w:rsidR="007E3EF4" w:rsidRDefault="007E3EF4" w:rsidP="00EE7812">
      <w:pPr>
        <w:spacing w:after="0" w:line="240" w:lineRule="auto"/>
      </w:pPr>
      <w:r>
        <w:separator/>
      </w:r>
    </w:p>
  </w:endnote>
  <w:endnote w:type="continuationSeparator" w:id="0">
    <w:p w14:paraId="145304F4" w14:textId="77777777" w:rsidR="007E3EF4" w:rsidRDefault="007E3EF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610C" w14:textId="77777777" w:rsidR="007E3EF4" w:rsidRDefault="007E3EF4" w:rsidP="00EE7812">
      <w:pPr>
        <w:spacing w:after="0" w:line="240" w:lineRule="auto"/>
      </w:pPr>
      <w:r>
        <w:separator/>
      </w:r>
    </w:p>
  </w:footnote>
  <w:footnote w:type="continuationSeparator" w:id="0">
    <w:p w14:paraId="311B4B85" w14:textId="77777777" w:rsidR="007E3EF4" w:rsidRDefault="007E3EF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66E07773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F6A">
      <w:t>61</w:t>
    </w:r>
    <w:r w:rsidR="00C104D8">
      <w:t>24</w:t>
    </w:r>
    <w:r>
      <w:t xml:space="preserve">, </w:t>
    </w:r>
    <w:r w:rsidR="00786CE8">
      <w:t>27</w:t>
    </w:r>
    <w:r w:rsidR="0099213A">
      <w:t xml:space="preserve"> de </w:t>
    </w:r>
    <w:r w:rsidR="00677A84">
      <w:t>septiembre</w:t>
    </w:r>
    <w:r>
      <w:t xml:space="preserve"> de 202</w:t>
    </w:r>
    <w:r w:rsidR="00461A09">
      <w:t>1</w:t>
    </w:r>
  </w:p>
  <w:p w14:paraId="29566F03" w14:textId="486D5996" w:rsidR="0000261B" w:rsidRDefault="007E3EF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78"/>
    <w:rsid w:val="003965A4"/>
    <w:rsid w:val="003965B0"/>
    <w:rsid w:val="003965C2"/>
    <w:rsid w:val="003965EE"/>
    <w:rsid w:val="00396655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38F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ABD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5ED5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3EF4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42A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23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63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18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C7F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64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46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74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AC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in-juriscol.gov.co/viewDocument.asp?ruta=Leyes/15982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traloria.gov.co/contraloria/sala-de-prensa/boletines-de-prensa?p_p_id=101_INSTANCE_e4W0nb7J7YBh&amp;p_p_lifecycle=0&amp;p_p_state=normal&amp;p_p_mode=view&amp;p_p_col_id=_118_INSTANCE_UixrmF0fHuSj__column-1&amp;p_p_col_pos=1&amp;p_p_col_count=2&amp;_101_INSTANCE_e4W0nb7J7YBh_delta=5&amp;_101_INSTANCE_e4W0nb7J7YBh_keywords=&amp;_101_INSTANCE_e4W0nb7J7YBh_advancedSearch=false&amp;_101_INSTANCE_e4W0nb7J7YBh_andOperator=true&amp;p_r_p_564233524_resetCur=false&amp;_101_INSTANCE_e4W0nb7J7YBh_cur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id=18333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8146-9690-4BF7-83A6-CCCB26B3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3721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2021-09-25T21:54:00Z</dcterms:created>
  <dcterms:modified xsi:type="dcterms:W3CDTF">2021-09-25T21:54:00Z</dcterms:modified>
</cp:coreProperties>
</file>