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AB" w:rsidRPr="003421AB" w:rsidRDefault="003421AB" w:rsidP="003421AB">
      <w:pPr>
        <w:keepNext/>
        <w:framePr w:dropCap="drop" w:lines="3" w:wrap="around" w:vAnchor="text" w:hAnchor="text"/>
        <w:spacing w:after="0" w:line="926" w:lineRule="exact"/>
        <w:textAlignment w:val="baseline"/>
        <w:rPr>
          <w:rFonts w:cs="Calibri"/>
          <w:position w:val="-9"/>
          <w:sz w:val="123"/>
        </w:rPr>
      </w:pPr>
      <w:r w:rsidRPr="003421AB">
        <w:rPr>
          <w:rFonts w:cs="Calibri"/>
          <w:position w:val="-9"/>
          <w:sz w:val="123"/>
        </w:rPr>
        <w:t>L</w:t>
      </w:r>
    </w:p>
    <w:p w:rsidR="003421AB" w:rsidRPr="003421AB" w:rsidRDefault="003421AB" w:rsidP="003421AB">
      <w:r w:rsidRPr="003421AB">
        <w:t xml:space="preserve">a </w:t>
      </w:r>
      <w:proofErr w:type="spellStart"/>
      <w:r w:rsidRPr="003421AB">
        <w:t>Financial</w:t>
      </w:r>
      <w:proofErr w:type="spellEnd"/>
      <w:r w:rsidRPr="003421AB">
        <w:t xml:space="preserve"> </w:t>
      </w:r>
      <w:proofErr w:type="spellStart"/>
      <w:r w:rsidRPr="003421AB">
        <w:t>Accounting</w:t>
      </w:r>
      <w:proofErr w:type="spellEnd"/>
      <w:r w:rsidRPr="003421AB">
        <w:t xml:space="preserve"> </w:t>
      </w:r>
      <w:proofErr w:type="spellStart"/>
      <w:r w:rsidRPr="003421AB">
        <w:t>Foundation</w:t>
      </w:r>
      <w:proofErr w:type="spellEnd"/>
      <w:r w:rsidRPr="003421AB">
        <w:t xml:space="preserve"> – FAF creó en mayo del presente año el </w:t>
      </w:r>
      <w:proofErr w:type="spellStart"/>
      <w:r w:rsidRPr="003421AB">
        <w:t>Private</w:t>
      </w:r>
      <w:proofErr w:type="spellEnd"/>
      <w:r w:rsidRPr="003421AB">
        <w:t xml:space="preserve"> </w:t>
      </w:r>
      <w:proofErr w:type="spellStart"/>
      <w:r w:rsidRPr="003421AB">
        <w:t>Company</w:t>
      </w:r>
      <w:proofErr w:type="spellEnd"/>
      <w:r w:rsidRPr="003421AB">
        <w:t xml:space="preserve"> Council - </w:t>
      </w:r>
      <w:hyperlink r:id="rId9" w:history="1">
        <w:r w:rsidRPr="003421AB">
          <w:rPr>
            <w:rStyle w:val="Hipervnculo"/>
          </w:rPr>
          <w:t>PC</w:t>
        </w:r>
        <w:r w:rsidRPr="003421AB">
          <w:rPr>
            <w:rStyle w:val="Hipervnculo"/>
          </w:rPr>
          <w:t>C</w:t>
        </w:r>
      </w:hyperlink>
      <w:r>
        <w:t>;</w:t>
      </w:r>
      <w:r w:rsidRPr="003421AB">
        <w:t xml:space="preserve"> este órgano es el encargado de </w:t>
      </w:r>
      <w:r>
        <w:t>recomendar</w:t>
      </w:r>
      <w:r w:rsidRPr="003421AB">
        <w:t xml:space="preserve"> las normas de contabilidad para las empresas privadas.</w:t>
      </w:r>
    </w:p>
    <w:p w:rsidR="003421AB" w:rsidRPr="003421AB" w:rsidRDefault="003421AB" w:rsidP="003421AB">
      <w:pPr>
        <w:rPr>
          <w:lang w:val="en-US"/>
        </w:rPr>
      </w:pPr>
      <w:r w:rsidRPr="003421AB">
        <w:t>En Estados Unidos algunos reclamaban desde hace bastante tiempo la existencia de un conjunto de estándares diferenciados para empresas que no son públicas e</w:t>
      </w:r>
      <w:r w:rsidR="00056365">
        <w:t>,</w:t>
      </w:r>
      <w:r w:rsidRPr="003421AB">
        <w:t xml:space="preserve"> incluso</w:t>
      </w:r>
      <w:r w:rsidR="00056365">
        <w:t>,</w:t>
      </w:r>
      <w:r w:rsidRPr="003421AB">
        <w:t xml:space="preserve"> hacían votos para que en dicho país se adoptarán el IFRS para PYME</w:t>
      </w:r>
      <w:r w:rsidR="00056365">
        <w:t>S</w:t>
      </w:r>
      <w:r w:rsidRPr="003421AB">
        <w:t>:</w:t>
      </w:r>
      <w:r>
        <w:t xml:space="preserve"> </w:t>
      </w:r>
      <w:r w:rsidRPr="003421AB">
        <w:t>“</w:t>
      </w:r>
      <w:proofErr w:type="spellStart"/>
      <w:r w:rsidRPr="003421AB">
        <w:t>We</w:t>
      </w:r>
      <w:proofErr w:type="spellEnd"/>
      <w:r w:rsidRPr="003421AB">
        <w:t xml:space="preserve"> </w:t>
      </w:r>
      <w:proofErr w:type="spellStart"/>
      <w:r w:rsidRPr="003421AB">
        <w:t>recognize</w:t>
      </w:r>
      <w:proofErr w:type="spellEnd"/>
      <w:r w:rsidRPr="003421AB">
        <w:t xml:space="preserve"> </w:t>
      </w:r>
      <w:proofErr w:type="spellStart"/>
      <w:r w:rsidRPr="003421AB">
        <w:t>that</w:t>
      </w:r>
      <w:proofErr w:type="spellEnd"/>
      <w:r w:rsidRPr="003421AB">
        <w:t xml:space="preserve"> </w:t>
      </w:r>
      <w:proofErr w:type="spellStart"/>
      <w:r w:rsidRPr="003421AB">
        <w:t>the</w:t>
      </w:r>
      <w:proofErr w:type="spellEnd"/>
      <w:r w:rsidRPr="003421AB">
        <w:t xml:space="preserve"> </w:t>
      </w:r>
      <w:proofErr w:type="spellStart"/>
      <w:r w:rsidRPr="003421AB">
        <w:t>issue</w:t>
      </w:r>
      <w:proofErr w:type="spellEnd"/>
      <w:r w:rsidRPr="003421AB">
        <w:t xml:space="preserve"> of </w:t>
      </w:r>
      <w:proofErr w:type="spellStart"/>
      <w:r w:rsidRPr="003421AB">
        <w:t>standards</w:t>
      </w:r>
      <w:proofErr w:type="spellEnd"/>
      <w:r w:rsidRPr="003421AB">
        <w:t xml:space="preserve"> </w:t>
      </w:r>
      <w:proofErr w:type="spellStart"/>
      <w:r w:rsidRPr="003421AB">
        <w:t>containing</w:t>
      </w:r>
      <w:proofErr w:type="spellEnd"/>
      <w:r w:rsidRPr="003421AB">
        <w:t xml:space="preserve"> </w:t>
      </w:r>
      <w:proofErr w:type="spellStart"/>
      <w:r w:rsidRPr="003421AB">
        <w:t>exceptions</w:t>
      </w:r>
      <w:proofErr w:type="spellEnd"/>
      <w:r w:rsidRPr="003421AB">
        <w:t xml:space="preserve"> </w:t>
      </w:r>
      <w:proofErr w:type="spellStart"/>
      <w:r w:rsidRPr="003421AB">
        <w:t>to</w:t>
      </w:r>
      <w:proofErr w:type="spellEnd"/>
      <w:r w:rsidRPr="003421AB">
        <w:t xml:space="preserve"> </w:t>
      </w:r>
      <w:proofErr w:type="spellStart"/>
      <w:r w:rsidRPr="003421AB">
        <w:t>issues</w:t>
      </w:r>
      <w:proofErr w:type="spellEnd"/>
      <w:r w:rsidRPr="003421AB">
        <w:t xml:space="preserve"> </w:t>
      </w:r>
      <w:proofErr w:type="spellStart"/>
      <w:r w:rsidRPr="003421AB">
        <w:t>that</w:t>
      </w:r>
      <w:proofErr w:type="spellEnd"/>
      <w:r w:rsidRPr="003421AB">
        <w:t xml:space="preserve"> are </w:t>
      </w:r>
      <w:proofErr w:type="spellStart"/>
      <w:r w:rsidRPr="003421AB">
        <w:t>complex</w:t>
      </w:r>
      <w:proofErr w:type="spellEnd"/>
      <w:r w:rsidRPr="003421AB">
        <w:t xml:space="preserve"> and </w:t>
      </w:r>
      <w:proofErr w:type="spellStart"/>
      <w:r w:rsidRPr="003421AB">
        <w:t>irrelevant</w:t>
      </w:r>
      <w:proofErr w:type="spellEnd"/>
      <w:r w:rsidRPr="003421AB">
        <w:t xml:space="preserve"> </w:t>
      </w:r>
      <w:proofErr w:type="spellStart"/>
      <w:r w:rsidRPr="003421AB">
        <w:t>to</w:t>
      </w:r>
      <w:proofErr w:type="spellEnd"/>
      <w:r w:rsidRPr="003421AB">
        <w:t xml:space="preserve"> </w:t>
      </w:r>
      <w:proofErr w:type="spellStart"/>
      <w:r w:rsidRPr="003421AB">
        <w:t>enterprises</w:t>
      </w:r>
      <w:proofErr w:type="spellEnd"/>
      <w:r w:rsidRPr="003421AB">
        <w:t xml:space="preserve"> </w:t>
      </w:r>
      <w:proofErr w:type="spellStart"/>
      <w:r w:rsidRPr="003421AB">
        <w:t>that</w:t>
      </w:r>
      <w:proofErr w:type="spellEnd"/>
      <w:r w:rsidRPr="003421AB">
        <w:t xml:space="preserve"> are non-</w:t>
      </w:r>
      <w:proofErr w:type="spellStart"/>
      <w:r w:rsidRPr="003421AB">
        <w:t>publicly</w:t>
      </w:r>
      <w:proofErr w:type="spellEnd"/>
      <w:r w:rsidRPr="003421AB">
        <w:t xml:space="preserve"> </w:t>
      </w:r>
      <w:proofErr w:type="spellStart"/>
      <w:r w:rsidRPr="003421AB">
        <w:t>accountable</w:t>
      </w:r>
      <w:proofErr w:type="spellEnd"/>
      <w:r w:rsidRPr="003421AB">
        <w:t xml:space="preserve"> (i.e., </w:t>
      </w:r>
      <w:proofErr w:type="spellStart"/>
      <w:r w:rsidRPr="003421AB">
        <w:t>private</w:t>
      </w:r>
      <w:proofErr w:type="spellEnd"/>
      <w:r w:rsidRPr="003421AB">
        <w:t xml:space="preserve"> </w:t>
      </w:r>
      <w:proofErr w:type="spellStart"/>
      <w:r w:rsidRPr="003421AB">
        <w:t>companies</w:t>
      </w:r>
      <w:proofErr w:type="spellEnd"/>
      <w:r w:rsidRPr="003421AB">
        <w:t xml:space="preserve">) has </w:t>
      </w:r>
      <w:proofErr w:type="spellStart"/>
      <w:r w:rsidRPr="003421AB">
        <w:t>been</w:t>
      </w:r>
      <w:proofErr w:type="spellEnd"/>
      <w:r w:rsidRPr="003421AB">
        <w:t xml:space="preserve"> </w:t>
      </w:r>
      <w:proofErr w:type="spellStart"/>
      <w:r w:rsidRPr="003421AB">
        <w:t>studied</w:t>
      </w:r>
      <w:proofErr w:type="spellEnd"/>
      <w:r w:rsidRPr="003421AB">
        <w:t xml:space="preserve"> </w:t>
      </w:r>
      <w:proofErr w:type="spellStart"/>
      <w:r w:rsidRPr="003421AB">
        <w:t>for</w:t>
      </w:r>
      <w:proofErr w:type="spellEnd"/>
      <w:r w:rsidRPr="003421AB">
        <w:t xml:space="preserve"> </w:t>
      </w:r>
      <w:proofErr w:type="spellStart"/>
      <w:r w:rsidRPr="003421AB">
        <w:t>almost</w:t>
      </w:r>
      <w:proofErr w:type="spellEnd"/>
      <w:r w:rsidRPr="003421AB">
        <w:t xml:space="preserve"> </w:t>
      </w:r>
      <w:proofErr w:type="spellStart"/>
      <w:r w:rsidRPr="003421AB">
        <w:t>four</w:t>
      </w:r>
      <w:proofErr w:type="spellEnd"/>
      <w:r w:rsidRPr="003421AB">
        <w:t xml:space="preserve"> </w:t>
      </w:r>
      <w:proofErr w:type="spellStart"/>
      <w:r w:rsidRPr="003421AB">
        <w:t>decades</w:t>
      </w:r>
      <w:proofErr w:type="spellEnd"/>
      <w:r w:rsidRPr="003421AB">
        <w:t xml:space="preserve">. </w:t>
      </w:r>
      <w:r w:rsidRPr="003421AB">
        <w:rPr>
          <w:lang w:val="en-US"/>
        </w:rPr>
        <w:t>We do not believe more research to determine whether private companies and users would benefit if exceptions to irrelevant standards were permitted is necessary. This question was settled in other countries 10 years ago and those countries are now moving to bring those standards into conformity with SMEs to IFRS for SMEs. US standard setters should do the same: accept IFRS for SMEs”</w:t>
      </w:r>
      <w:r w:rsidRPr="003421AB">
        <w:rPr>
          <w:vertAlign w:val="superscript"/>
          <w:lang w:val="en-US"/>
        </w:rPr>
        <w:footnoteReference w:id="1"/>
      </w:r>
    </w:p>
    <w:p w:rsidR="003421AB" w:rsidRPr="003421AB" w:rsidRDefault="003421AB" w:rsidP="003421AB">
      <w:pPr>
        <w:rPr>
          <w:lang w:val="en-US"/>
        </w:rPr>
      </w:pPr>
      <w:r w:rsidRPr="003421AB">
        <w:t>En las cartas de comentarios que surgieron en la discusión pública previa a la creación del</w:t>
      </w:r>
      <w:r>
        <w:t xml:space="preserve"> </w:t>
      </w:r>
      <w:r w:rsidRPr="003421AB">
        <w:t>PCC, también se puede</w:t>
      </w:r>
      <w:r w:rsidR="00056365">
        <w:t>n</w:t>
      </w:r>
      <w:r w:rsidRPr="003421AB">
        <w:t xml:space="preserve"> </w:t>
      </w:r>
      <w:hyperlink r:id="rId10" w:history="1">
        <w:r w:rsidRPr="003421AB">
          <w:rPr>
            <w:rStyle w:val="Hipervnculo"/>
          </w:rPr>
          <w:t>enco</w:t>
        </w:r>
        <w:r w:rsidRPr="003421AB">
          <w:rPr>
            <w:rStyle w:val="Hipervnculo"/>
          </w:rPr>
          <w:t>n</w:t>
        </w:r>
        <w:r w:rsidRPr="003421AB">
          <w:rPr>
            <w:rStyle w:val="Hipervnculo"/>
          </w:rPr>
          <w:t>trar</w:t>
        </w:r>
      </w:hyperlink>
      <w:r w:rsidRPr="003421AB">
        <w:t xml:space="preserve"> posiciones a favor de la adopción por parte de USA del IFRS para PYME</w:t>
      </w:r>
      <w:r w:rsidR="00056365">
        <w:t>S</w:t>
      </w:r>
      <w:r w:rsidRPr="003421AB">
        <w:t>:</w:t>
      </w:r>
      <w:r>
        <w:t xml:space="preserve"> </w:t>
      </w:r>
      <w:r w:rsidRPr="003421AB">
        <w:t>“</w:t>
      </w:r>
      <w:proofErr w:type="spellStart"/>
      <w:r w:rsidRPr="003421AB">
        <w:t>The</w:t>
      </w:r>
      <w:proofErr w:type="spellEnd"/>
      <w:r w:rsidRPr="003421AB">
        <w:t xml:space="preserve"> </w:t>
      </w:r>
      <w:r w:rsidRPr="003421AB">
        <w:lastRenderedPageBreak/>
        <w:t xml:space="preserve">International </w:t>
      </w:r>
      <w:proofErr w:type="spellStart"/>
      <w:r w:rsidRPr="003421AB">
        <w:t>Accounting</w:t>
      </w:r>
      <w:proofErr w:type="spellEnd"/>
      <w:r w:rsidRPr="003421AB">
        <w:t xml:space="preserve"> </w:t>
      </w:r>
      <w:proofErr w:type="spellStart"/>
      <w:r w:rsidRPr="003421AB">
        <w:t>Standards</w:t>
      </w:r>
      <w:proofErr w:type="spellEnd"/>
      <w:r w:rsidRPr="003421AB">
        <w:t xml:space="preserve"> </w:t>
      </w:r>
      <w:proofErr w:type="spellStart"/>
      <w:r w:rsidRPr="003421AB">
        <w:t>Board’s</w:t>
      </w:r>
      <w:proofErr w:type="spellEnd"/>
      <w:r w:rsidRPr="003421AB">
        <w:t xml:space="preserve"> (IASB) IFRS </w:t>
      </w:r>
      <w:proofErr w:type="spellStart"/>
      <w:r w:rsidRPr="003421AB">
        <w:t>for</w:t>
      </w:r>
      <w:proofErr w:type="spellEnd"/>
      <w:r w:rsidRPr="003421AB">
        <w:t xml:space="preserve"> </w:t>
      </w:r>
      <w:proofErr w:type="spellStart"/>
      <w:r w:rsidRPr="003421AB">
        <w:t>SMEs</w:t>
      </w:r>
      <w:proofErr w:type="spellEnd"/>
      <w:r w:rsidRPr="003421AB">
        <w:t xml:space="preserve"> </w:t>
      </w:r>
      <w:proofErr w:type="spellStart"/>
      <w:r w:rsidRPr="003421AB">
        <w:t>should</w:t>
      </w:r>
      <w:proofErr w:type="spellEnd"/>
      <w:r w:rsidRPr="003421AB">
        <w:t xml:space="preserve"> be </w:t>
      </w:r>
      <w:proofErr w:type="spellStart"/>
      <w:r w:rsidRPr="003421AB">
        <w:t>used</w:t>
      </w:r>
      <w:proofErr w:type="spellEnd"/>
      <w:r w:rsidRPr="003421AB">
        <w:t xml:space="preserve"> </w:t>
      </w:r>
      <w:proofErr w:type="spellStart"/>
      <w:r w:rsidRPr="003421AB">
        <w:t>instead</w:t>
      </w:r>
      <w:proofErr w:type="spellEnd"/>
      <w:r w:rsidRPr="003421AB">
        <w:t xml:space="preserve"> of </w:t>
      </w:r>
      <w:proofErr w:type="spellStart"/>
      <w:r w:rsidRPr="003421AB">
        <w:t>developing</w:t>
      </w:r>
      <w:proofErr w:type="spellEnd"/>
      <w:r w:rsidRPr="003421AB">
        <w:t xml:space="preserve"> a new </w:t>
      </w:r>
      <w:proofErr w:type="spellStart"/>
      <w:r w:rsidRPr="003421AB">
        <w:t>framework</w:t>
      </w:r>
      <w:proofErr w:type="spellEnd"/>
      <w:r w:rsidRPr="003421AB">
        <w:t xml:space="preserve">. </w:t>
      </w:r>
      <w:r w:rsidRPr="003421AB">
        <w:rPr>
          <w:lang w:val="en-US"/>
        </w:rPr>
        <w:t>Not incorporating IFRS for SMEs or not using a similar approach for U.S. private companies could lead to further divergence with the IASB”</w:t>
      </w:r>
    </w:p>
    <w:p w:rsidR="003421AB" w:rsidRPr="003421AB" w:rsidRDefault="003421AB" w:rsidP="003421AB">
      <w:pPr>
        <w:rPr>
          <w:lang w:val="en-US"/>
        </w:rPr>
      </w:pPr>
      <w:r w:rsidRPr="003421AB">
        <w:rPr>
          <w:lang w:val="en-US"/>
        </w:rPr>
        <w:t xml:space="preserve">Con </w:t>
      </w:r>
      <w:proofErr w:type="spellStart"/>
      <w:r w:rsidRPr="003421AB">
        <w:rPr>
          <w:lang w:val="en-US"/>
        </w:rPr>
        <w:t>estos</w:t>
      </w:r>
      <w:proofErr w:type="spellEnd"/>
      <w:r w:rsidRPr="003421AB">
        <w:rPr>
          <w:lang w:val="en-US"/>
        </w:rPr>
        <w:t xml:space="preserve"> </w:t>
      </w:r>
      <w:proofErr w:type="spellStart"/>
      <w:r w:rsidRPr="003421AB">
        <w:rPr>
          <w:lang w:val="en-US"/>
        </w:rPr>
        <w:t>antecedentes</w:t>
      </w:r>
      <w:proofErr w:type="spellEnd"/>
      <w:r w:rsidRPr="003421AB">
        <w:rPr>
          <w:lang w:val="en-US"/>
        </w:rPr>
        <w:t xml:space="preserve">, el PCC </w:t>
      </w:r>
      <w:proofErr w:type="spellStart"/>
      <w:r w:rsidRPr="003421AB">
        <w:rPr>
          <w:lang w:val="en-US"/>
        </w:rPr>
        <w:t>inició</w:t>
      </w:r>
      <w:proofErr w:type="spellEnd"/>
      <w:r w:rsidRPr="003421AB">
        <w:rPr>
          <w:lang w:val="en-US"/>
        </w:rPr>
        <w:t xml:space="preserve"> </w:t>
      </w:r>
      <w:proofErr w:type="spellStart"/>
      <w:r w:rsidRPr="003421AB">
        <w:rPr>
          <w:lang w:val="en-US"/>
        </w:rPr>
        <w:t>su</w:t>
      </w:r>
      <w:proofErr w:type="spellEnd"/>
      <w:r w:rsidRPr="003421AB">
        <w:rPr>
          <w:lang w:val="en-US"/>
        </w:rPr>
        <w:t xml:space="preserve"> </w:t>
      </w:r>
      <w:proofErr w:type="spellStart"/>
      <w:r w:rsidRPr="003421AB">
        <w:rPr>
          <w:lang w:val="en-US"/>
        </w:rPr>
        <w:t>tarea</w:t>
      </w:r>
      <w:proofErr w:type="spellEnd"/>
      <w:r w:rsidRPr="003421AB">
        <w:rPr>
          <w:lang w:val="en-US"/>
        </w:rPr>
        <w:t xml:space="preserve"> y </w:t>
      </w:r>
      <w:proofErr w:type="spellStart"/>
      <w:r w:rsidRPr="003421AB">
        <w:rPr>
          <w:lang w:val="en-US"/>
        </w:rPr>
        <w:t>es</w:t>
      </w:r>
      <w:proofErr w:type="spellEnd"/>
      <w:r w:rsidRPr="003421AB">
        <w:rPr>
          <w:lang w:val="en-US"/>
        </w:rPr>
        <w:t xml:space="preserve"> </w:t>
      </w:r>
      <w:proofErr w:type="spellStart"/>
      <w:r w:rsidRPr="003421AB">
        <w:rPr>
          <w:lang w:val="en-US"/>
        </w:rPr>
        <w:t>así</w:t>
      </w:r>
      <w:proofErr w:type="spellEnd"/>
      <w:r w:rsidRPr="003421AB">
        <w:rPr>
          <w:lang w:val="en-US"/>
        </w:rPr>
        <w:t xml:space="preserve"> </w:t>
      </w:r>
      <w:proofErr w:type="spellStart"/>
      <w:r w:rsidRPr="003421AB">
        <w:rPr>
          <w:lang w:val="en-US"/>
        </w:rPr>
        <w:t>que</w:t>
      </w:r>
      <w:proofErr w:type="spellEnd"/>
      <w:r w:rsidRPr="003421AB">
        <w:rPr>
          <w:lang w:val="en-US"/>
        </w:rPr>
        <w:t xml:space="preserve"> </w:t>
      </w:r>
      <w:proofErr w:type="spellStart"/>
      <w:r w:rsidRPr="003421AB">
        <w:rPr>
          <w:lang w:val="en-US"/>
        </w:rPr>
        <w:t>emitió</w:t>
      </w:r>
      <w:proofErr w:type="spellEnd"/>
      <w:r w:rsidRPr="003421AB">
        <w:rPr>
          <w:lang w:val="en-US"/>
        </w:rPr>
        <w:t xml:space="preserve"> un </w:t>
      </w:r>
      <w:proofErr w:type="spellStart"/>
      <w:r w:rsidRPr="003421AB">
        <w:rPr>
          <w:lang w:val="en-US"/>
        </w:rPr>
        <w:t>documento</w:t>
      </w:r>
      <w:proofErr w:type="spellEnd"/>
      <w:r w:rsidRPr="003421AB">
        <w:rPr>
          <w:lang w:val="en-US"/>
        </w:rPr>
        <w:t xml:space="preserve"> </w:t>
      </w:r>
      <w:proofErr w:type="spellStart"/>
      <w:r w:rsidRPr="003421AB">
        <w:rPr>
          <w:lang w:val="en-US"/>
        </w:rPr>
        <w:t>para</w:t>
      </w:r>
      <w:proofErr w:type="spellEnd"/>
      <w:r w:rsidRPr="003421AB">
        <w:rPr>
          <w:lang w:val="en-US"/>
        </w:rPr>
        <w:t xml:space="preserve"> </w:t>
      </w:r>
      <w:proofErr w:type="spellStart"/>
      <w:r w:rsidRPr="003421AB">
        <w:rPr>
          <w:lang w:val="en-US"/>
        </w:rPr>
        <w:t>comentarios</w:t>
      </w:r>
      <w:proofErr w:type="spellEnd"/>
      <w:r w:rsidRPr="003421AB">
        <w:rPr>
          <w:lang w:val="en-US"/>
        </w:rPr>
        <w:t xml:space="preserve"> </w:t>
      </w:r>
      <w:proofErr w:type="spellStart"/>
      <w:r w:rsidRPr="003421AB">
        <w:rPr>
          <w:lang w:val="en-US"/>
        </w:rPr>
        <w:t>titulado</w:t>
      </w:r>
      <w:proofErr w:type="spellEnd"/>
      <w:r w:rsidRPr="003421AB">
        <w:rPr>
          <w:lang w:val="en-US"/>
        </w:rPr>
        <w:t xml:space="preserve"> “</w:t>
      </w:r>
      <w:r w:rsidR="00056365" w:rsidRPr="00056365">
        <w:rPr>
          <w:lang w:val="en-US"/>
        </w:rPr>
        <w:t>Private Company Decision -Making Framework</w:t>
      </w:r>
      <w:r w:rsidR="00056365">
        <w:rPr>
          <w:lang w:val="en-US"/>
        </w:rPr>
        <w:t xml:space="preserve"> </w:t>
      </w:r>
      <w:hyperlink r:id="rId11" w:history="1">
        <w:r w:rsidRPr="003421AB">
          <w:rPr>
            <w:rStyle w:val="Hipervnculo"/>
            <w:lang w:val="en-US"/>
          </w:rPr>
          <w:t>A Fra</w:t>
        </w:r>
        <w:r w:rsidRPr="003421AB">
          <w:rPr>
            <w:rStyle w:val="Hipervnculo"/>
            <w:lang w:val="en-US"/>
          </w:rPr>
          <w:t>m</w:t>
        </w:r>
        <w:r w:rsidRPr="003421AB">
          <w:rPr>
            <w:rStyle w:val="Hipervnculo"/>
            <w:lang w:val="en-US"/>
          </w:rPr>
          <w:t>ework for Evaluating Financial Accounting and Reporting Guidance for Private Companies</w:t>
        </w:r>
      </w:hyperlink>
      <w:r w:rsidRPr="003421AB">
        <w:rPr>
          <w:lang w:val="en-US"/>
        </w:rPr>
        <w:t xml:space="preserve">”, en el </w:t>
      </w:r>
      <w:proofErr w:type="spellStart"/>
      <w:r w:rsidR="00056365">
        <w:rPr>
          <w:lang w:val="en-US"/>
        </w:rPr>
        <w:t>cual</w:t>
      </w:r>
      <w:proofErr w:type="spellEnd"/>
      <w:r w:rsidRPr="003421AB">
        <w:rPr>
          <w:lang w:val="en-US"/>
        </w:rPr>
        <w:t xml:space="preserve"> se </w:t>
      </w:r>
      <w:proofErr w:type="spellStart"/>
      <w:r w:rsidRPr="003421AB">
        <w:rPr>
          <w:lang w:val="en-US"/>
        </w:rPr>
        <w:t>afirma</w:t>
      </w:r>
      <w:proofErr w:type="spellEnd"/>
      <w:r w:rsidRPr="003421AB">
        <w:rPr>
          <w:lang w:val="en-US"/>
        </w:rPr>
        <w:t>:</w:t>
      </w:r>
      <w:r>
        <w:rPr>
          <w:lang w:val="en-US"/>
        </w:rPr>
        <w:t xml:space="preserve"> </w:t>
      </w:r>
      <w:r w:rsidRPr="003421AB">
        <w:rPr>
          <w:lang w:val="en-US"/>
        </w:rPr>
        <w:t>“The Board separately considered the following types of entities and tentatively decided that they are not excluded from the definition of a private company unless they meet any of the characteristics described in paragraph B6: a. Financial institution; b. A consolidated subsidiary of an entity that is a public company; c. An entity that has a controlled and consolidated subsidiary that is a public company.”</w:t>
      </w:r>
    </w:p>
    <w:p w:rsidR="003421AB" w:rsidRPr="003421AB" w:rsidRDefault="003421AB" w:rsidP="003421AB">
      <w:r w:rsidRPr="003421AB">
        <w:t>¿Por qué todas las instituciones financieras no están excluidas de la definición de empresas privadas?</w:t>
      </w:r>
      <w:r>
        <w:t xml:space="preserve"> </w:t>
      </w:r>
      <w:r w:rsidRPr="003421AB">
        <w:t>El PCC no ha terminado su proyecto, las deliberaciones continúan y ésta propuesta puede cambiar sustancialmente.</w:t>
      </w:r>
      <w:r>
        <w:t xml:space="preserve"> </w:t>
      </w:r>
      <w:r w:rsidR="00056365">
        <w:t>Mas s</w:t>
      </w:r>
      <w:bookmarkStart w:id="0" w:name="_GoBack"/>
      <w:bookmarkEnd w:id="0"/>
      <w:r w:rsidRPr="003421AB">
        <w:t>i se cumple el viejo adagio popular que dice “desde el desayuno se sabe como va a hacer el almuerzo”,</w:t>
      </w:r>
      <w:r>
        <w:t xml:space="preserve"> </w:t>
      </w:r>
      <w:r w:rsidRPr="003421AB">
        <w:t>todo indica que va</w:t>
      </w:r>
      <w:r w:rsidR="00056365">
        <w:t>n</w:t>
      </w:r>
      <w:r w:rsidRPr="003421AB">
        <w:t xml:space="preserve"> a existir diferencias entre los estándares para compañías privadas de Estados Unidos y el IFRS para PYME</w:t>
      </w:r>
      <w:r w:rsidR="00056365">
        <w:t>S</w:t>
      </w:r>
      <w:r w:rsidRPr="003421AB">
        <w:t>.</w:t>
      </w:r>
      <w:r>
        <w:t xml:space="preserve"> </w:t>
      </w:r>
    </w:p>
    <w:p w:rsidR="00E23C7A" w:rsidRPr="00304B28" w:rsidRDefault="003421AB" w:rsidP="003421AB">
      <w:pPr>
        <w:jc w:val="right"/>
      </w:pPr>
      <w:r w:rsidRPr="003421AB">
        <w:rPr>
          <w:i/>
        </w:rPr>
        <w:t>Germán Eduardo Espinosa Flórez</w:t>
      </w:r>
    </w:p>
    <w:sectPr w:rsidR="00E23C7A" w:rsidRPr="00304B2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FD" w:rsidRDefault="003205FD" w:rsidP="00EE7812">
      <w:pPr>
        <w:spacing w:after="0" w:line="240" w:lineRule="auto"/>
      </w:pPr>
      <w:r>
        <w:separator/>
      </w:r>
    </w:p>
  </w:endnote>
  <w:endnote w:type="continuationSeparator" w:id="0">
    <w:p w:rsidR="003205FD" w:rsidRDefault="003205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FD" w:rsidRDefault="003205FD" w:rsidP="00EE7812">
      <w:pPr>
        <w:spacing w:after="0" w:line="240" w:lineRule="auto"/>
      </w:pPr>
      <w:r>
        <w:separator/>
      </w:r>
    </w:p>
  </w:footnote>
  <w:footnote w:type="continuationSeparator" w:id="0">
    <w:p w:rsidR="003205FD" w:rsidRDefault="003205FD" w:rsidP="00EE7812">
      <w:pPr>
        <w:spacing w:after="0" w:line="240" w:lineRule="auto"/>
      </w:pPr>
      <w:r>
        <w:continuationSeparator/>
      </w:r>
    </w:p>
  </w:footnote>
  <w:footnote w:id="1">
    <w:p w:rsidR="003421AB" w:rsidRPr="0067671A" w:rsidRDefault="003421AB" w:rsidP="003421AB">
      <w:pPr>
        <w:pStyle w:val="Textonotapie"/>
        <w:rPr>
          <w:lang w:val="en-US"/>
        </w:rPr>
      </w:pPr>
      <w:r>
        <w:rPr>
          <w:rStyle w:val="Refdenotaalpie"/>
        </w:rPr>
        <w:footnoteRef/>
      </w:r>
      <w:r>
        <w:t xml:space="preserve"> </w:t>
      </w:r>
      <w:r w:rsidRPr="0067671A">
        <w:rPr>
          <w:noProof/>
          <w:lang w:val="en-US"/>
        </w:rPr>
        <w:t xml:space="preserve">Wright, G. B., Fernandez, D., Burns, J., &amp; Hawkins, R. (2012, Mayo). </w:t>
      </w:r>
      <w:r>
        <w:rPr>
          <w:i/>
          <w:iCs/>
          <w:noProof/>
          <w:lang w:val="en-US"/>
        </w:rPr>
        <w:t>Big GAAP/Little GAAP: Will The Debate Ever End?.</w:t>
      </w:r>
      <w:r>
        <w:rPr>
          <w:noProof/>
          <w:lang w:val="en-US"/>
        </w:rPr>
        <w:t xml:space="preserve"> Journal Of Business &amp; Economics Research. Volume 10, number 5, pág 291.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6F2A2D">
      <w:t>61</w:t>
    </w:r>
    <w:r w:rsidR="00304B28">
      <w:t>8</w:t>
    </w:r>
    <w:r w:rsidR="00667D4D">
      <w:t>,</w:t>
    </w:r>
    <w:r w:rsidR="009D09BB">
      <w:t xml:space="preserve"> </w:t>
    </w:r>
    <w:r w:rsidR="002E6ED1">
      <w:t>noviembre</w:t>
    </w:r>
    <w:r w:rsidR="00E00D55">
      <w:t xml:space="preserve"> </w:t>
    </w:r>
    <w:r w:rsidR="006F2A2D">
      <w:t>1</w:t>
    </w:r>
    <w:r w:rsidR="00477FE6">
      <w:t>9</w:t>
    </w:r>
    <w:r w:rsidR="0005771D">
      <w:t xml:space="preserve"> </w:t>
    </w:r>
    <w:r w:rsidR="0080786C">
      <w:t>de 201</w:t>
    </w:r>
    <w:r w:rsidR="00297D4C">
      <w:t>2</w:t>
    </w:r>
  </w:p>
  <w:p w:rsidR="0046164F" w:rsidRDefault="003205F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5FD"/>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559"/>
    <w:rsid w:val="00D2080E"/>
    <w:rsid w:val="00D209C7"/>
    <w:rsid w:val="00D20B6C"/>
    <w:rsid w:val="00D21434"/>
    <w:rsid w:val="00D217F4"/>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sb.org/cs/BlobServer?blobkey=id&amp;blobwhere=1175824305878&amp;blobheader=application%2Fpdf&amp;blobcol=urldata&amp;blobtable=MungoBlob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countingfoundation.org/cs/ContentServer?site=Foundation&amp;c=Document_C&amp;pagename=Foundation%2FDocument_C%2FFAFDocumentPage&amp;cid=1176160066778" TargetMode="External"/><Relationship Id="rId4" Type="http://schemas.microsoft.com/office/2007/relationships/stylesWithEffects" Target="stylesWithEffects.xml"/><Relationship Id="rId9" Type="http://schemas.openxmlformats.org/officeDocument/2006/relationships/hyperlink" Target="http://www.accountingfoundation.org/cs/ContentServer?site=Foundation&amp;c=FAFContent_C&amp;pagename=Foundation%2FFAFContent_C%2FFAFNewsPage&amp;cid=11761600746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E095-8489-41EB-A363-20B7EEA6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485</Words>
  <Characters>2669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2012-11-19T15:59:00Z</dcterms:created>
  <dcterms:modified xsi:type="dcterms:W3CDTF">2012-11-19T16:12:00Z</dcterms:modified>
</cp:coreProperties>
</file>