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BABE" w14:textId="6E43674E" w:rsidR="003E2A62" w:rsidRPr="003E2A62" w:rsidRDefault="003E2A62" w:rsidP="003E2A6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3E2A62">
        <w:rPr>
          <w:position w:val="-7"/>
          <w:sz w:val="120"/>
        </w:rPr>
        <w:t>S</w:t>
      </w:r>
    </w:p>
    <w:p w14:paraId="7ADCDAE0" w14:textId="1EDE4DFD" w:rsidR="00723931" w:rsidRDefault="003E2A62" w:rsidP="003E2A62">
      <w:r>
        <w:t xml:space="preserve">egún informó el </w:t>
      </w:r>
      <w:hyperlink r:id="rId8" w:history="1">
        <w:r w:rsidRPr="003E2A62">
          <w:rPr>
            <w:rStyle w:val="Hyperlink"/>
          </w:rPr>
          <w:t>Consejo Técnico de la Contaduría Pública</w:t>
        </w:r>
      </w:hyperlink>
      <w:r>
        <w:t xml:space="preserve"> el 12 de octubre del año en curso, se divulgó un “</w:t>
      </w:r>
      <w:r w:rsidRPr="003E2A62">
        <w:rPr>
          <w:i/>
        </w:rPr>
        <w:t>Documento para discusión pública: Proyecto Decreto por el cual se reglamentan algunos artículos relacionados con el ejercicio, funciones y responsabilidades del revisor fiscal</w:t>
      </w:r>
      <w:r>
        <w:t>.”</w:t>
      </w:r>
    </w:p>
    <w:p w14:paraId="5162AB97" w14:textId="456D347B" w:rsidR="00DE38C9" w:rsidRDefault="00DE38C9" w:rsidP="007B2C04">
      <w:r>
        <w:t xml:space="preserve">Algunos </w:t>
      </w:r>
      <w:r w:rsidR="000A5A80">
        <w:t>opinan</w:t>
      </w:r>
      <w:r>
        <w:t xml:space="preserve"> que los redactores del </w:t>
      </w:r>
      <w:hyperlink r:id="rId9" w:history="1">
        <w:r w:rsidRPr="000A5A80">
          <w:rPr>
            <w:rStyle w:val="Hyperlink"/>
          </w:rPr>
          <w:t>Código de Comercio</w:t>
        </w:r>
      </w:hyperlink>
      <w:r>
        <w:t xml:space="preserve"> pensaban en interventoría de cuentas y no en auditoría. La siguiente mención, </w:t>
      </w:r>
      <w:r w:rsidR="007B2C04">
        <w:t xml:space="preserve">tomada </w:t>
      </w:r>
      <w:r w:rsidR="000A5A80">
        <w:t xml:space="preserve">la transcripción que de ella hicimos en nuestra tesis de grado, </w:t>
      </w:r>
      <w:r w:rsidR="007B2C04">
        <w:t xml:space="preserve">de sus exposiciones de motivos, </w:t>
      </w:r>
      <w:r>
        <w:t>relativa al artículo 209 de dicho código</w:t>
      </w:r>
      <w:r w:rsidR="000A5A80">
        <w:t>,</w:t>
      </w:r>
      <w:r>
        <w:t xml:space="preserve"> desmiente su </w:t>
      </w:r>
      <w:r w:rsidR="007B2C04">
        <w:t xml:space="preserve">convicción: “(…) </w:t>
      </w:r>
      <w:r w:rsidR="007B2C04" w:rsidRPr="007B2C04">
        <w:rPr>
          <w:i/>
          <w:iCs/>
        </w:rPr>
        <w:t xml:space="preserve">Sobre el particular sostuvieron los promotores del proyecto: </w:t>
      </w:r>
      <w:r w:rsidR="00035731">
        <w:rPr>
          <w:i/>
          <w:iCs/>
        </w:rPr>
        <w:t>“</w:t>
      </w:r>
      <w:r w:rsidR="007B2C04" w:rsidRPr="007B2C04">
        <w:rPr>
          <w:i/>
          <w:iCs/>
          <w:u w:val="single"/>
        </w:rPr>
        <w:t>El señalamiento de funciones más acordes con los procedimientos de auditoría</w:t>
      </w:r>
      <w:r w:rsidR="007B2C04" w:rsidRPr="007B2C04">
        <w:rPr>
          <w:i/>
          <w:iCs/>
        </w:rPr>
        <w:t xml:space="preserve">, con el fin de que el control privado tenga verdadera utilidad. Ese es el sentido de las reformas que se proponen a la ley 73 de 1935, no solo al señalar las funciones permanentes de los revisores y </w:t>
      </w:r>
      <w:r w:rsidR="007B2C04" w:rsidRPr="00035731">
        <w:rPr>
          <w:i/>
          <w:iCs/>
          <w:u w:val="single"/>
        </w:rPr>
        <w:t>que debe expresar, en general, el informe que debe rendir a las juntas o asambleas generales</w:t>
      </w:r>
      <w:r w:rsidR="00035731">
        <w:rPr>
          <w:i/>
          <w:iCs/>
          <w:u w:val="single"/>
        </w:rPr>
        <w:t>”</w:t>
      </w:r>
      <w:r w:rsidR="007B2C04" w:rsidRPr="007B2C04">
        <w:rPr>
          <w:i/>
          <w:iCs/>
        </w:rPr>
        <w:t>. (se subraya).</w:t>
      </w:r>
      <w:r w:rsidR="007B2C04">
        <w:t>”</w:t>
      </w:r>
    </w:p>
    <w:p w14:paraId="0988C63C" w14:textId="4AF78ED4" w:rsidR="00035731" w:rsidRDefault="000A5A80" w:rsidP="007B2C04">
      <w:r>
        <w:t xml:space="preserve">Lejos de no tener que ver con las funciones del revisor, los numerales del artículo 209 cruzan perfectamente con las funciones señaladas en el artículo 207, </w:t>
      </w:r>
      <w:proofErr w:type="spellStart"/>
      <w:r>
        <w:t>ibídem</w:t>
      </w:r>
      <w:proofErr w:type="spellEnd"/>
      <w:r>
        <w:t>.</w:t>
      </w:r>
    </w:p>
    <w:p w14:paraId="162F462A" w14:textId="692536D6" w:rsidR="003B46EE" w:rsidRPr="007B2C04" w:rsidRDefault="003B46EE" w:rsidP="007B2C04">
      <w:r>
        <w:t>Actualmente, el Decreto Único Reglamentario 2420 de 2015 dice: “</w:t>
      </w:r>
      <w:r w:rsidRPr="003B46EE">
        <w:rPr>
          <w:i/>
          <w:iCs/>
        </w:rPr>
        <w:t>1. Los revisores fiscales que presten sus servicios, a entidades del grupo 1, y a las entidades del grupo 2 que tengan más de 30.000 salarios mínimos mensuales legales vigentes (</w:t>
      </w:r>
      <w:proofErr w:type="spellStart"/>
      <w:r w:rsidRPr="003B46EE">
        <w:rPr>
          <w:i/>
          <w:iCs/>
        </w:rPr>
        <w:t>smmlv</w:t>
      </w:r>
      <w:proofErr w:type="spellEnd"/>
      <w:r w:rsidRPr="003B46EE">
        <w:rPr>
          <w:i/>
          <w:iCs/>
        </w:rPr>
        <w:t>)</w:t>
      </w:r>
      <w:r>
        <w:rPr>
          <w:i/>
          <w:iCs/>
        </w:rPr>
        <w:t xml:space="preserve"> </w:t>
      </w:r>
      <w:r w:rsidRPr="003B46EE">
        <w:rPr>
          <w:i/>
          <w:iCs/>
        </w:rPr>
        <w:t xml:space="preserve">de activos o, más de 200 trabajadores, en los </w:t>
      </w:r>
      <w:r w:rsidRPr="003B46EE">
        <w:rPr>
          <w:i/>
          <w:iCs/>
        </w:rPr>
        <w:t>términos establecidos para tales efectos en el título 1 de la parte 1 del libro 1 y en el título 2 de la parte 1 del libro 1, respectivamente, del Decreto 2420 de 2015 y normas posteriores que lo modifiquen, adicionen o sustituyan, así como a los revisores fiscales que dictaminen estados financieros consolidados de estas entidades, aplicarán las NIA contenidas en el anexo 4</w:t>
      </w:r>
      <w:r w:rsidRPr="003B46EE">
        <w:rPr>
          <w:b/>
          <w:bCs/>
          <w:i/>
          <w:iCs/>
        </w:rPr>
        <w:t>*</w:t>
      </w:r>
      <w:r w:rsidRPr="003B46EE">
        <w:rPr>
          <w:i/>
          <w:iCs/>
        </w:rPr>
        <w:t>, o el anexo que lo modifique o adicione, de dicho Decreto 2420 de 2015, en cumplimiento de las responsabilidades contenidas en los artículos 207, numeral 7º, y 208 del Código de Comercio, en relación con el dictamen de los estados financieros, y aplicarán las ISAE contenidas en dicho anexo 4</w:t>
      </w:r>
      <w:r w:rsidRPr="003B46EE">
        <w:rPr>
          <w:b/>
          <w:bCs/>
          <w:i/>
          <w:iCs/>
        </w:rPr>
        <w:t>*</w:t>
      </w:r>
      <w:r w:rsidRPr="003B46EE">
        <w:rPr>
          <w:i/>
          <w:iCs/>
        </w:rPr>
        <w:t>, o el anexo que lo modifique o adicione, en desarrollo de las responsabilidades contenidas en el artículo 209 del Código de Comercio, relacionadas con la evaluación del cumplimiento de las disposiciones estatutarias y de la asamblea o junta de socios y con la evaluación del control interno.</w:t>
      </w:r>
      <w:r>
        <w:t>” Nunca hemos estado de acuerdo con la partición que se hizo de los revisores fiscales y nunca nos dijeron quien l</w:t>
      </w:r>
      <w:r w:rsidR="00E4166B">
        <w:t>a</w:t>
      </w:r>
      <w:r>
        <w:t xml:space="preserve"> propuso. Lo cierto es que, como es claro, el dictamen sobre los estados financieros debe apoyarse en normas de auditoría sobre información financiera histórica, mientras el informe sobre los tres asunto</w:t>
      </w:r>
      <w:r w:rsidR="00E4166B">
        <w:t>s</w:t>
      </w:r>
      <w:r>
        <w:t xml:space="preserve"> enumerados en el artículo 209 </w:t>
      </w:r>
      <w:r w:rsidR="00E4166B">
        <w:t xml:space="preserve">siguiente </w:t>
      </w:r>
      <w:r>
        <w:t xml:space="preserve">debe sustentarse en un trabajo </w:t>
      </w:r>
      <w:r w:rsidR="00E4166B">
        <w:t>que no corresponde a dicho tipo de información, es decir que no es financiera ni histórica, lo cual nos lleva a la ISAE 3000. Así las cosas, si esta norma es de intervención no podría ser cambiada por un decreto reglamentario. El asunto requiere de precisión.</w:t>
      </w:r>
    </w:p>
    <w:p w14:paraId="2FA27014" w14:textId="18AAA907" w:rsidR="005C3744" w:rsidRPr="003E2A62" w:rsidRDefault="005C3744" w:rsidP="00EE05A6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5C3744" w:rsidRPr="003E2A62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C1" w14:textId="77777777" w:rsidR="00376DA4" w:rsidRDefault="00376DA4" w:rsidP="00EE7812">
      <w:pPr>
        <w:spacing w:after="0" w:line="240" w:lineRule="auto"/>
      </w:pPr>
      <w:r>
        <w:separator/>
      </w:r>
    </w:p>
  </w:endnote>
  <w:endnote w:type="continuationSeparator" w:id="0">
    <w:p w14:paraId="1A6CE44E" w14:textId="77777777" w:rsidR="00376DA4" w:rsidRDefault="00376DA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D33A" w14:textId="77777777" w:rsidR="00376DA4" w:rsidRDefault="00376DA4" w:rsidP="00EE7812">
      <w:pPr>
        <w:spacing w:after="0" w:line="240" w:lineRule="auto"/>
      </w:pPr>
      <w:r>
        <w:separator/>
      </w:r>
    </w:p>
  </w:footnote>
  <w:footnote w:type="continuationSeparator" w:id="0">
    <w:p w14:paraId="788CDC62" w14:textId="77777777" w:rsidR="00376DA4" w:rsidRDefault="00376DA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C679D0C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F6A">
      <w:t>61</w:t>
    </w:r>
    <w:r w:rsidR="00A534FC">
      <w:t>8</w:t>
    </w:r>
    <w:r w:rsidR="00DF5F5B">
      <w:t>4</w:t>
    </w:r>
    <w:r>
      <w:t xml:space="preserve">, </w:t>
    </w:r>
    <w:r w:rsidR="00A45F41">
      <w:t>25</w:t>
    </w:r>
    <w:r w:rsidR="0099213A">
      <w:t xml:space="preserve"> de </w:t>
    </w:r>
    <w:r w:rsidR="009D332F">
      <w:t>octubre</w:t>
    </w:r>
    <w:r>
      <w:t xml:space="preserve"> de 202</w:t>
    </w:r>
    <w:r w:rsidR="00461A09">
      <w:t>1</w:t>
    </w:r>
  </w:p>
  <w:p w14:paraId="29566F03" w14:textId="486D5996" w:rsidR="0000261B" w:rsidRDefault="00376D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7D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9E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0B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4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5F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73F"/>
    <w:rsid w:val="003D4770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E69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6EC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8B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96"/>
    <w:rsid w:val="00515A04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A8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CF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23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63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8C4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B0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58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C7F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C1B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92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56C"/>
    <w:rsid w:val="00E84706"/>
    <w:rsid w:val="00E847A0"/>
    <w:rsid w:val="00E847E4"/>
    <w:rsid w:val="00E847E6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9F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FBEF470F-ECC6-4702-B8B6-29839DB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p.gov.co/noticias/2021/ctcp-presenta-documento-de-discusion-sobre-proye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id=1833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BD2B-3ED9-4883-A80B-7A6259EA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2021-10-22T15:14:00Z</dcterms:created>
  <dcterms:modified xsi:type="dcterms:W3CDTF">2021-10-22T15:14:00Z</dcterms:modified>
</cp:coreProperties>
</file>