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EE31" w14:textId="296FFE87" w:rsidR="00BB5B4B" w:rsidRPr="00BB5B4B" w:rsidRDefault="00BB5B4B" w:rsidP="00BB5B4B">
      <w:pPr>
        <w:keepNext/>
        <w:framePr w:dropCap="drop" w:lines="3" w:wrap="around" w:vAnchor="text" w:hAnchor="text"/>
        <w:spacing w:after="0" w:line="926" w:lineRule="exact"/>
        <w:textAlignment w:val="baseline"/>
        <w:rPr>
          <w:position w:val="-9"/>
          <w:sz w:val="123"/>
          <w:lang w:val="en-US"/>
        </w:rPr>
      </w:pPr>
      <w:r w:rsidRPr="00BB5B4B">
        <w:rPr>
          <w:position w:val="-9"/>
          <w:sz w:val="123"/>
          <w:lang w:val="en-US"/>
        </w:rPr>
        <w:t>E</w:t>
      </w:r>
    </w:p>
    <w:p w14:paraId="51A1C91D" w14:textId="6009505A" w:rsidR="0087547B" w:rsidRDefault="00BB5B4B" w:rsidP="0056429C">
      <w:pPr>
        <w:rPr>
          <w:lang w:val="en-US"/>
        </w:rPr>
      </w:pPr>
      <w:r w:rsidRPr="00BB5B4B">
        <w:rPr>
          <w:lang w:val="en-US"/>
        </w:rPr>
        <w:t>n su resumen, Ruud G. A. Vergoossen &amp; Ferdy van Beest (2021)</w:t>
      </w:r>
      <w:r>
        <w:rPr>
          <w:lang w:val="en-US"/>
        </w:rPr>
        <w:t>, con referencia al artículo</w:t>
      </w:r>
      <w:r w:rsidRPr="00BB5B4B">
        <w:rPr>
          <w:lang w:val="en-US"/>
        </w:rPr>
        <w:t xml:space="preserve"> </w:t>
      </w:r>
      <w:hyperlink r:id="rId8" w:history="1">
        <w:r w:rsidRPr="00BB5B4B">
          <w:rPr>
            <w:rStyle w:val="Hyperlink"/>
            <w:i/>
            <w:lang w:val="en-US"/>
          </w:rPr>
          <w:t>Management Reports of Dutch Companies: Their Availability and Compliance with Legal Disclosure Requirements</w:t>
        </w:r>
      </w:hyperlink>
      <w:r w:rsidRPr="00BB5B4B">
        <w:rPr>
          <w:lang w:val="en-US"/>
        </w:rPr>
        <w:t xml:space="preserve">, </w:t>
      </w:r>
      <w:r>
        <w:rPr>
          <w:lang w:val="en-US"/>
        </w:rPr>
        <w:t xml:space="preserve">publicado por </w:t>
      </w:r>
      <w:r w:rsidRPr="00BB5B4B">
        <w:rPr>
          <w:lang w:val="en-US"/>
        </w:rPr>
        <w:t xml:space="preserve">Accounting in Europe, 18:2, 143-165, </w:t>
      </w:r>
      <w:r w:rsidR="000A1BDF">
        <w:rPr>
          <w:lang w:val="en-US"/>
        </w:rPr>
        <w:t>manifiestan: “</w:t>
      </w:r>
      <w:r w:rsidR="000A1BDF" w:rsidRPr="000A1BDF">
        <w:rPr>
          <w:i/>
          <w:lang w:val="en-US"/>
        </w:rPr>
        <w:t>Unlike the vast majority of the EU member states, the Netherlands incorporated an option provided by the EU Accounting Directive that exempt companies from the obligation to file the management report with the trade register when a copy of it can be obtained from the company upon request. About 60% of the companies use this filing exemption option, but the availability of the management reports of these companies appears to be poor, because they are (very) reluctant to fulfill a request, rejecting it or do not respond to it at all. Therefore, it is interesting to examine whether the choice of how the management report is published, is associated with the level of compliance with disclosure obligations. In order to do that, we create a disclosure score based on the legal disclosure requirements. Multivariate analysis shows that disclosure compliance of management reports that are filed with the trade register is significantly higher than of those not filed but made available by the company. We also find a significant positive relationship between disclosure compliance and the length of management reports. Compliance levels appear not to be significantly associated with the timeliness of publication, company size and the size of the external auditor’s firm. Based on our research findings we advocate the removal of the filing exemption option on management reports.</w:t>
      </w:r>
      <w:r w:rsidR="000A1BDF">
        <w:rPr>
          <w:lang w:val="en-US"/>
        </w:rPr>
        <w:t>”</w:t>
      </w:r>
    </w:p>
    <w:p w14:paraId="497EC86A" w14:textId="7E011FD8" w:rsidR="000A1BDF" w:rsidRDefault="000A1BDF" w:rsidP="0056429C">
      <w:r w:rsidRPr="000A1BDF">
        <w:t>Los obstáculos de los administradores al</w:t>
      </w:r>
      <w:r>
        <w:t xml:space="preserve"> debido ejercicio del derecho de inspección son legendarios en nuestro país. Se suelen designar funcionarios para que defiendan a la compañía frente a los consultantes. Se prohíbe todo medio de reproducción. La información detallada no se entrega o se libera tardíamente. La investigación mencionada plantea que debe exigirse la divulgación pública, más que la publicación por la propia empresa (generalmente sus páginas en Internet). Esta es nuestra paradoja. Igual a lo que sucede con los derechos fundamentales. Es necesario acudir a la tutela para lograr su observancia. El derecho de inspección está muriendo. Entre su corto plazo y los obstáculos administrativos es cada vez más irrelevante. Esta situación puede estar fomentando el aumento de la filtración de información privilegiada. La desaparición de las juntas directivas conformadas por el cociente electoral evita la presencia de algún representante de las minorías.</w:t>
      </w:r>
      <w:r w:rsidR="00B27224">
        <w:t xml:space="preserve"> Estas no tienen, si quiera, influencia en los revisores fiscales, pues no contribuyen en su designación ni en su remuneración. La publicación obligatoria de los estados financieros, ojalá electrónica, sigue siendo la mejor alternativa disponible. Como sabemos las autoridades no la han hecho cumplir. Los comentarios de la gerencia, al igual que los informes de rendición de cuentas, en lugar de ser una presentación completa y objetiva de la situación de una entidad, se han convertido en medios para alabar los actuales administradores, quienes no tienen dificultad en desprestigiar a sus antecesores.</w:t>
      </w:r>
    </w:p>
    <w:p w14:paraId="0C2FAC3D" w14:textId="0F5A1F27" w:rsidR="00B27224" w:rsidRPr="000A1BDF" w:rsidRDefault="00B27224" w:rsidP="00B27224">
      <w:pPr>
        <w:jc w:val="right"/>
      </w:pPr>
      <w:r>
        <w:rPr>
          <w:i/>
        </w:rPr>
        <w:t>Hernando Bermúdez Gó</w:t>
      </w:r>
      <w:r w:rsidRPr="001924A1">
        <w:rPr>
          <w:i/>
        </w:rPr>
        <w:t>mez</w:t>
      </w:r>
    </w:p>
    <w:sectPr w:rsidR="00B27224" w:rsidRPr="000A1BD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E770" w14:textId="77777777" w:rsidR="0033797B" w:rsidRDefault="0033797B" w:rsidP="00EE7812">
      <w:pPr>
        <w:spacing w:after="0" w:line="240" w:lineRule="auto"/>
      </w:pPr>
      <w:r>
        <w:separator/>
      </w:r>
    </w:p>
  </w:endnote>
  <w:endnote w:type="continuationSeparator" w:id="0">
    <w:p w14:paraId="3C459247" w14:textId="77777777" w:rsidR="0033797B" w:rsidRDefault="003379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E623" w14:textId="77777777" w:rsidR="0033797B" w:rsidRDefault="0033797B" w:rsidP="00EE7812">
      <w:pPr>
        <w:spacing w:after="0" w:line="240" w:lineRule="auto"/>
      </w:pPr>
      <w:r>
        <w:separator/>
      </w:r>
    </w:p>
  </w:footnote>
  <w:footnote w:type="continuationSeparator" w:id="0">
    <w:p w14:paraId="43BD133B" w14:textId="77777777" w:rsidR="0033797B" w:rsidRDefault="003379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7A10E380" w:rsidR="00934244" w:rsidRDefault="0000261B" w:rsidP="00613BC8">
    <w:pPr>
      <w:pStyle w:val="Header"/>
      <w:tabs>
        <w:tab w:val="left" w:pos="2580"/>
        <w:tab w:val="left" w:pos="2985"/>
      </w:tabs>
      <w:spacing w:line="276" w:lineRule="auto"/>
      <w:jc w:val="right"/>
    </w:pPr>
    <w:r>
      <w:t xml:space="preserve">Número </w:t>
    </w:r>
    <w:r w:rsidR="0056429C">
      <w:t>6220</w:t>
    </w:r>
    <w:r>
      <w:t xml:space="preserve">, </w:t>
    </w:r>
    <w:r w:rsidR="008824D2">
      <w:t>8</w:t>
    </w:r>
    <w:r w:rsidR="0099213A">
      <w:t xml:space="preserve"> de </w:t>
    </w:r>
    <w:r w:rsidR="00552AF7">
      <w:t>noviembre</w:t>
    </w:r>
    <w:r>
      <w:t xml:space="preserve"> de 202</w:t>
    </w:r>
    <w:r w:rsidR="00461A09">
      <w:t>1</w:t>
    </w:r>
  </w:p>
  <w:p w14:paraId="29566F03" w14:textId="486D5996" w:rsidR="0000261B" w:rsidRDefault="003379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97B"/>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0A"/>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855"/>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0.1829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F92D-7EC0-4DA7-B74C-D85C00F8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2021-11-05T21:07:00Z</dcterms:created>
  <dcterms:modified xsi:type="dcterms:W3CDTF">2021-11-05T21:07:00Z</dcterms:modified>
</cp:coreProperties>
</file>