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443A" w14:textId="3A15F61D" w:rsidR="000C4373" w:rsidRPr="000C4373" w:rsidRDefault="000C4373" w:rsidP="000C4373">
      <w:pPr>
        <w:keepNext/>
        <w:framePr w:dropCap="drop" w:lines="3" w:wrap="around" w:vAnchor="text" w:hAnchor="text"/>
        <w:spacing w:after="0" w:line="926" w:lineRule="exact"/>
        <w:textAlignment w:val="baseline"/>
        <w:rPr>
          <w:position w:val="2"/>
          <w:sz w:val="115"/>
        </w:rPr>
      </w:pPr>
      <w:r w:rsidRPr="000C4373">
        <w:rPr>
          <w:position w:val="2"/>
          <w:sz w:val="115"/>
        </w:rPr>
        <w:t>¿</w:t>
      </w:r>
    </w:p>
    <w:p w14:paraId="6E9A6FFD" w14:textId="2C1BC4E2" w:rsidR="00E50159" w:rsidRDefault="007C6FBE" w:rsidP="00551FE6">
      <w:r>
        <w:t>Qué sucede cuando un empresario aumenta el valor de los salarios que paga?</w:t>
      </w:r>
      <w:r w:rsidR="000C4373">
        <w:t xml:space="preserve"> Por lo general impulsa la economía porque los empleados gasta</w:t>
      </w:r>
      <w:r w:rsidR="00070AE1">
        <w:t>rá</w:t>
      </w:r>
      <w:r w:rsidR="000C4373">
        <w:t>n más beneficiando precisamente a los empresarios. Pero esto no quiere decir que estos se aprieten el cinturón. Normalmente incrementan el precio de sus bienes o servicios para compensar el aumento de sus erogaciones laborales. De esta manera puede suceder que el trabajador en lugar de estar mejor permanezca igual o, incluso, enfrente un deterioro de su situación.</w:t>
      </w:r>
    </w:p>
    <w:p w14:paraId="1213E59E" w14:textId="4BE07C7F" w:rsidR="000C4373" w:rsidRDefault="000C4373" w:rsidP="00551FE6">
      <w:r>
        <w:t xml:space="preserve">Por lo anterior hay que desconfiar de quienes en este momento están celebrando el mayor incremento porcentual del salario mínimo. Dicen que se trata de un acto de solidaridad con los trabajadores en frente de las negativas consecuencias que ha provocado la pandemia por la presencia activa del Covid-19. En realidad, </w:t>
      </w:r>
      <w:r w:rsidR="00663AD3">
        <w:t>se inyectará</w:t>
      </w:r>
      <w:r>
        <w:t xml:space="preserve"> dinero al sistema económico para mejorar la circulación monetaria. Hay muchos que han subido notoriamente sus precios, pretendiendo obtener ahora lo que no pudieron ganar en los dos años anteriores. La multitud de inmuebles para vender o arrendar muestra una cara incontrovertible de la situación de muchos.</w:t>
      </w:r>
      <w:r w:rsidR="00D54FDB">
        <w:t xml:space="preserve"> Los empresarios ya no serán los mismos. Unos se fortalecieron, otros debieron abandonar su actividad. Habrá nuevos actores y nuevas prácticas. En río revuelto ganancia de pescadores.</w:t>
      </w:r>
      <w:r w:rsidR="000053C6">
        <w:t xml:space="preserve"> ¿Cuántos contadores tuvieron que reducir sus sueldos u honorarios? ¿Cuántos perdieron clientes? ¿Cuántos pasaron de la precariedad de la clase media a la pobreza? Lástima que los gremios de la profesión no nos ilustran al respecto. Cada </w:t>
      </w:r>
      <w:r w:rsidR="000053C6">
        <w:t xml:space="preserve">cual deberá ver qué hace. Seguramente no </w:t>
      </w:r>
      <w:r w:rsidR="00107BB7">
        <w:t>habrá</w:t>
      </w:r>
      <w:r w:rsidR="000053C6">
        <w:t xml:space="preserve"> programas colectivos.</w:t>
      </w:r>
    </w:p>
    <w:p w14:paraId="7E14EAE6" w14:textId="17980ECF" w:rsidR="00107BB7" w:rsidRDefault="00070AE1" w:rsidP="00551FE6">
      <w:r>
        <w:t>Por otra parte, para los verdaderos profesionales de la contabilidad se presenta una gran oportunidad. Si ellos son competentes para lograr que las entidades mejoren su desempeño, se les buscará decididamente y se les hará caso. El dominio de la economía, las finanzas y la administración jugarán un papel clave en el inmediato futuro. Además, a lo largo y ancho de los mercados las prácticas serán otras porque</w:t>
      </w:r>
      <w:r w:rsidR="00706573">
        <w:t>,</w:t>
      </w:r>
      <w:r>
        <w:t xml:space="preserve"> así se regrese a la presencia</w:t>
      </w:r>
      <w:r w:rsidR="00706573">
        <w:t>,</w:t>
      </w:r>
      <w:r>
        <w:t xml:space="preserve"> la penetración de los medios electrónicos aumentó y no se disminuirá. Más bien tenderá a seguir incrementándose.</w:t>
      </w:r>
    </w:p>
    <w:p w14:paraId="3F7CE1DB" w14:textId="6BBC69E2" w:rsidR="00706573" w:rsidRDefault="00113A43" w:rsidP="00551FE6">
      <w:r>
        <w:t>Los aseguradores, en especial los auditores financieros, deben tener mucho cuidado, porque habrá clientes que traten de mostrar la cara bonita, aunque en realidad los dos años anteriores han descapitalizado a muchos, porque no tuvieron buenos ingresos, pero sí tuvieron que atender varios vencimientos.</w:t>
      </w:r>
    </w:p>
    <w:p w14:paraId="3636E0D6" w14:textId="556FC9BA" w:rsidR="00936C3F" w:rsidRDefault="00D16427" w:rsidP="00551FE6">
      <w:r>
        <w:t>Al cambiar la regla de relacionar el patrimonio con el capital por una que implica un análisis serio de la situación económica, ya no será evidente para los terceros si la entidad continuará funcionando. De manera que la responsabilidad de los preparadores y de los asegurados ha aumentado, porque los terceros deberán apoyarse en lo que se les diga. Los escenarios tradicionales sobre los que se acostumbrada a presupuestar pueden haber cambiado. Si no se actualizan se cometerán errores.</w:t>
      </w:r>
    </w:p>
    <w:p w14:paraId="3C9ABB7D" w14:textId="59A9AB33" w:rsidR="00D16427" w:rsidRPr="00551FE6" w:rsidRDefault="00D16427" w:rsidP="00D16427">
      <w:pPr>
        <w:jc w:val="right"/>
      </w:pPr>
      <w:r>
        <w:rPr>
          <w:i/>
        </w:rPr>
        <w:t>Hernando Bermúdez Gó</w:t>
      </w:r>
      <w:r w:rsidRPr="001924A1">
        <w:rPr>
          <w:i/>
        </w:rPr>
        <w:t>mez</w:t>
      </w:r>
    </w:p>
    <w:sectPr w:rsidR="00D16427" w:rsidRPr="00551FE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237DF" w14:textId="77777777" w:rsidR="00D020E4" w:rsidRDefault="00D020E4" w:rsidP="00EE7812">
      <w:pPr>
        <w:spacing w:after="0" w:line="240" w:lineRule="auto"/>
      </w:pPr>
      <w:r>
        <w:separator/>
      </w:r>
    </w:p>
  </w:endnote>
  <w:endnote w:type="continuationSeparator" w:id="0">
    <w:p w14:paraId="36E322C5" w14:textId="77777777" w:rsidR="00D020E4" w:rsidRDefault="00D020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8718" w14:textId="77777777" w:rsidR="00D020E4" w:rsidRDefault="00D020E4" w:rsidP="00EE7812">
      <w:pPr>
        <w:spacing w:after="0" w:line="240" w:lineRule="auto"/>
      </w:pPr>
      <w:r>
        <w:separator/>
      </w:r>
    </w:p>
  </w:footnote>
  <w:footnote w:type="continuationSeparator" w:id="0">
    <w:p w14:paraId="6BAAF119" w14:textId="77777777" w:rsidR="00D020E4" w:rsidRDefault="00D020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018C1A6" w:rsidR="00934244" w:rsidRDefault="0000261B" w:rsidP="00613BC8">
    <w:pPr>
      <w:pStyle w:val="Header"/>
      <w:tabs>
        <w:tab w:val="left" w:pos="2580"/>
        <w:tab w:val="left" w:pos="2985"/>
      </w:tabs>
      <w:spacing w:line="276" w:lineRule="auto"/>
      <w:jc w:val="right"/>
    </w:pPr>
    <w:r>
      <w:t xml:space="preserve">Número </w:t>
    </w:r>
    <w:r w:rsidR="00D52365">
      <w:t>6</w:t>
    </w:r>
    <w:r w:rsidR="00551FE6">
      <w:t>317</w:t>
    </w:r>
    <w:r>
      <w:t xml:space="preserve">, </w:t>
    </w:r>
    <w:r w:rsidR="0045149E">
      <w:t>20</w:t>
    </w:r>
    <w:r w:rsidR="0099213A">
      <w:t xml:space="preserve"> de </w:t>
    </w:r>
    <w:r w:rsidR="00D63AC0">
      <w:t>diciembre</w:t>
    </w:r>
    <w:r>
      <w:t xml:space="preserve"> de 202</w:t>
    </w:r>
    <w:r w:rsidR="00461A09">
      <w:t>1</w:t>
    </w:r>
  </w:p>
  <w:p w14:paraId="29566F03" w14:textId="486D5996" w:rsidR="0000261B" w:rsidRDefault="00D020E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59"/>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B8"/>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0E4"/>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755A5795-1460-459F-8236-AD2A525C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FC52-8E03-4C7C-B391-D308DF6F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2021-12-20T15:32:00Z</dcterms:created>
  <dcterms:modified xsi:type="dcterms:W3CDTF">2021-12-20T15:32:00Z</dcterms:modified>
</cp:coreProperties>
</file>