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C6973" w14:textId="41B19047" w:rsidR="001D29FB" w:rsidRPr="001D29FB" w:rsidRDefault="001D29FB" w:rsidP="001D29FB">
      <w:pPr>
        <w:keepNext/>
        <w:framePr w:dropCap="drop" w:lines="3" w:wrap="around" w:vAnchor="text" w:hAnchor="text"/>
        <w:spacing w:after="0" w:line="926" w:lineRule="exact"/>
        <w:textAlignment w:val="baseline"/>
        <w:rPr>
          <w:position w:val="-7"/>
          <w:sz w:val="120"/>
        </w:rPr>
      </w:pPr>
      <w:r w:rsidRPr="001D29FB">
        <w:rPr>
          <w:position w:val="-7"/>
          <w:sz w:val="120"/>
        </w:rPr>
        <w:t>S</w:t>
      </w:r>
    </w:p>
    <w:p w14:paraId="5A150809" w14:textId="4CCBCE2E" w:rsidR="001D29FB" w:rsidRDefault="001D29FB" w:rsidP="001D29FB">
      <w:r>
        <w:t xml:space="preserve">i realizáramos un análisis al mercado de renta variable (Mercado Accionario) de nuestra Bolsa de Valores de Colombia durante los dos últimos años, encontraríamos que tuvo un comportamiento similar al de la mayoría de bolsas en diferentes países del mundo. </w:t>
      </w:r>
    </w:p>
    <w:p w14:paraId="73E22B71" w14:textId="3DEB21E0" w:rsidR="001D29FB" w:rsidRDefault="001D29FB" w:rsidP="001D29FB">
      <w:r>
        <w:t xml:space="preserve">Esto quiere decir que durante el año 2019 tuvimos una tendencia alcista del índice principal de la bolsa denominado MSCI COLCAP, crecimiento respaldado por el auge del Producto Interno Bruto que en ese año se incrementó en 3.3%, pero posteriormente, en el mes de marzo de 2020, todas las cifras económicas se afectaron notoriamente por el inicio de la pandemia originada en China, y por las decisiones de aislamiento que fueron impuestas en casi todos los continentes. </w:t>
      </w:r>
    </w:p>
    <w:p w14:paraId="46A976A7" w14:textId="247D7A82" w:rsidR="001D29FB" w:rsidRDefault="001D29FB" w:rsidP="001D29FB">
      <w:r>
        <w:t xml:space="preserve">De hecho, el MSCI COLCAP paso de tener un valor de 1.670 unidades a 923 unidades, en ese mes de marzo de 2020, registrando una caída del 44% aproximadamente; fueron muy pocos los sectores que no colapsaron y que, por el contrario, se potencializaron con la crisis biológica, entre ellos tenemos al sector farmacéutico, tecnológico, y de alimentos. Posteriormente con la fabricación e implementación de las vacunas por parte de los diferentes laboratorios, comenzó a darse un escenario de confianza e inició la recuperación de nuestro mercado bursátil, durante los meses posteriores del 2020 se mostró mucha volatilidad, pero con un sesgo de crecimiento del mercado accionario, para el año 2021 esta senda continuó bajo la presencia de altas volatilidades, pero marcando tendencias alcistas, sobrepasando incluso la barrera de los 1.400 puntos, y cada </w:t>
      </w:r>
      <w:r>
        <w:t xml:space="preserve">vez más motivado por las decisiones de reactivación económica y por la masificación de los esquemas de vacunación. </w:t>
      </w:r>
    </w:p>
    <w:p w14:paraId="6E39AE05" w14:textId="57579EEA" w:rsidR="001D29FB" w:rsidRDefault="001D29FB" w:rsidP="001D29FB">
      <w:r>
        <w:t xml:space="preserve">Y en los últimos días se ha acentuado aún más el auge del MSCI COLCAP, motivado por la movida empresarial que tanto ha sido nombrada en los medios de comunicación, en cuanto al interés del grupo empresarial </w:t>
      </w:r>
      <w:proofErr w:type="spellStart"/>
      <w:r>
        <w:t>Gilinski</w:t>
      </w:r>
      <w:proofErr w:type="spellEnd"/>
      <w:r>
        <w:t xml:space="preserve"> por adquirir empresas del grupo empresarial antioqueño, como Nutresa, Grupo Argos, Grupo Sura y otras, estos grupos empresariales se caracterizan por tener una alta participación dentro del mercado colombiano.</w:t>
      </w:r>
    </w:p>
    <w:p w14:paraId="35D5EF5A" w14:textId="77777777" w:rsidR="001D29FB" w:rsidRDefault="001D29FB" w:rsidP="001D29FB">
      <w:r>
        <w:t>Por otra parte, la empresa Ecopetrol también ha venido registrando avances importantes en su precio de cotización, inicialmente por efecto de la adquisición de más del 50% de la compañía de Interconexión Eléctrica SA (ISA), además de planear una futura colocación de acciones ordinarias en el mercado local y extranjero.</w:t>
      </w:r>
    </w:p>
    <w:p w14:paraId="6B4C1B25" w14:textId="41ECD686" w:rsidR="001D29FB" w:rsidRDefault="001D29FB" w:rsidP="001D29FB">
      <w:r>
        <w:t>En conclusión, el mercado de capitales por estos días ha motivado la inversión en diferentes compañías y ha registrado excelentes resultados para los inversionistas.</w:t>
      </w:r>
    </w:p>
    <w:p w14:paraId="017B80A8" w14:textId="35EEB1B1" w:rsidR="003053B6" w:rsidRPr="001D29FB" w:rsidRDefault="001D29FB" w:rsidP="001D29FB">
      <w:pPr>
        <w:jc w:val="right"/>
        <w:rPr>
          <w:i/>
          <w:iCs/>
        </w:rPr>
      </w:pPr>
      <w:proofErr w:type="spellStart"/>
      <w:r w:rsidRPr="001D29FB">
        <w:rPr>
          <w:i/>
          <w:iCs/>
        </w:rPr>
        <w:t>Helber</w:t>
      </w:r>
      <w:proofErr w:type="spellEnd"/>
      <w:r w:rsidRPr="001D29FB">
        <w:rPr>
          <w:i/>
          <w:iCs/>
        </w:rPr>
        <w:t xml:space="preserve"> Mauricio Monroy Pedraza</w:t>
      </w:r>
    </w:p>
    <w:sectPr w:rsidR="003053B6" w:rsidRPr="001D29F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3F669" w14:textId="77777777" w:rsidR="000C4299" w:rsidRDefault="000C4299" w:rsidP="00EE7812">
      <w:pPr>
        <w:spacing w:after="0" w:line="240" w:lineRule="auto"/>
      </w:pPr>
      <w:r>
        <w:separator/>
      </w:r>
    </w:p>
  </w:endnote>
  <w:endnote w:type="continuationSeparator" w:id="0">
    <w:p w14:paraId="3B756F87" w14:textId="77777777" w:rsidR="000C4299" w:rsidRDefault="000C429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BBA36" w14:textId="77777777" w:rsidR="000C4299" w:rsidRDefault="000C4299" w:rsidP="00EE7812">
      <w:pPr>
        <w:spacing w:after="0" w:line="240" w:lineRule="auto"/>
      </w:pPr>
      <w:r>
        <w:separator/>
      </w:r>
    </w:p>
  </w:footnote>
  <w:footnote w:type="continuationSeparator" w:id="0">
    <w:p w14:paraId="19DE833A" w14:textId="77777777" w:rsidR="000C4299" w:rsidRDefault="000C429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993C589"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9600E2">
      <w:t>3</w:t>
    </w:r>
    <w:r w:rsidR="00C61E2D">
      <w:t>3</w:t>
    </w:r>
    <w:r>
      <w:t>,</w:t>
    </w:r>
    <w:r w:rsidR="00AD1603">
      <w:t xml:space="preserve"> </w:t>
    </w:r>
    <w:r w:rsidR="0045149E">
      <w:t>2</w:t>
    </w:r>
    <w:r w:rsidR="00B22E43">
      <w:t>7</w:t>
    </w:r>
    <w:r w:rsidR="00AD1603">
      <w:t xml:space="preserve"> </w:t>
    </w:r>
    <w:r w:rsidR="0099213A">
      <w:t>de</w:t>
    </w:r>
    <w:r w:rsidR="00AD1603">
      <w:t xml:space="preserve"> </w:t>
    </w:r>
    <w:r w:rsidR="00D63AC0">
      <w:t>diciembre</w:t>
    </w:r>
    <w:r w:rsidR="00AD1603">
      <w:t xml:space="preserve"> </w:t>
    </w:r>
    <w:r>
      <w:t>de</w:t>
    </w:r>
    <w:r w:rsidR="00AD1603">
      <w:t xml:space="preserve"> </w:t>
    </w:r>
    <w:r>
      <w:t>202</w:t>
    </w:r>
    <w:r w:rsidR="00461A09">
      <w:t>1</w:t>
    </w:r>
  </w:p>
  <w:p w14:paraId="29566F03" w14:textId="486D5996" w:rsidR="0000261B" w:rsidRDefault="000C429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1C"/>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299"/>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5AB"/>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59646AAE-6933-49B7-A6A9-7F079C6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2234</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2021-12-26T20:05:00Z</dcterms:created>
  <dcterms:modified xsi:type="dcterms:W3CDTF">2021-12-26T20:05:00Z</dcterms:modified>
</cp:coreProperties>
</file>