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F5" w:rsidRPr="004605F5" w:rsidRDefault="004605F5" w:rsidP="004605F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605F5">
        <w:rPr>
          <w:position w:val="-9"/>
          <w:sz w:val="123"/>
        </w:rPr>
        <w:t>L</w:t>
      </w:r>
    </w:p>
    <w:p w:rsidR="00840DB4" w:rsidRPr="00840DB4" w:rsidRDefault="00840DB4" w:rsidP="00840DB4">
      <w:r w:rsidRPr="00840DB4">
        <w:t xml:space="preserve">a directiva </w:t>
      </w:r>
      <w:hyperlink r:id="rId9" w:history="1">
        <w:r w:rsidRPr="00840DB4">
          <w:rPr>
            <w:rStyle w:val="Hyperlink"/>
          </w:rPr>
          <w:t>2011/8</w:t>
        </w:r>
        <w:r w:rsidRPr="00840DB4">
          <w:rPr>
            <w:rStyle w:val="Hyperlink"/>
          </w:rPr>
          <w:t>5</w:t>
        </w:r>
        <w:r w:rsidRPr="00840DB4">
          <w:rPr>
            <w:rStyle w:val="Hyperlink"/>
          </w:rPr>
          <w:t>/UE</w:t>
        </w:r>
      </w:hyperlink>
      <w:r w:rsidRPr="00840DB4">
        <w:t xml:space="preserve"> de Consejo de la Unión Europea, que establece los</w:t>
      </w:r>
      <w:r w:rsidR="004605F5">
        <w:t xml:space="preserve"> </w:t>
      </w:r>
      <w:r w:rsidRPr="00840DB4">
        <w:t>requisitos aplicables a los marcos presupuestarios de los Estados miembros, en su artículo 15 dispuso:</w:t>
      </w:r>
      <w:r w:rsidR="004605F5">
        <w:t xml:space="preserve"> </w:t>
      </w:r>
      <w:r w:rsidRPr="00840DB4">
        <w:t>“</w:t>
      </w:r>
      <w:proofErr w:type="spellStart"/>
      <w:r w:rsidRPr="00840DB4">
        <w:t>By</w:t>
      </w:r>
      <w:proofErr w:type="spellEnd"/>
      <w:r w:rsidRPr="00840DB4">
        <w:t xml:space="preserve"> 31 </w:t>
      </w:r>
      <w:proofErr w:type="spellStart"/>
      <w:r w:rsidRPr="00840DB4">
        <w:t>December</w:t>
      </w:r>
      <w:proofErr w:type="spellEnd"/>
      <w:r w:rsidRPr="00840DB4">
        <w:t xml:space="preserve"> 2012, </w:t>
      </w:r>
      <w:proofErr w:type="spellStart"/>
      <w:r w:rsidRPr="00840DB4">
        <w:t>the</w:t>
      </w:r>
      <w:proofErr w:type="spellEnd"/>
      <w:r w:rsidRPr="00840DB4">
        <w:t xml:space="preserve"> </w:t>
      </w:r>
      <w:proofErr w:type="spellStart"/>
      <w:r w:rsidRPr="00840DB4">
        <w:t>Commission</w:t>
      </w:r>
      <w:proofErr w:type="spellEnd"/>
      <w:r w:rsidRPr="00840DB4">
        <w:t xml:space="preserve"> </w:t>
      </w:r>
      <w:proofErr w:type="spellStart"/>
      <w:r w:rsidRPr="00840DB4">
        <w:t>shall</w:t>
      </w:r>
      <w:proofErr w:type="spellEnd"/>
      <w:r w:rsidRPr="00840DB4">
        <w:t xml:space="preserve"> </w:t>
      </w:r>
      <w:proofErr w:type="spellStart"/>
      <w:r w:rsidRPr="00840DB4">
        <w:t>assess</w:t>
      </w:r>
      <w:proofErr w:type="spellEnd"/>
      <w:r w:rsidRPr="00840DB4">
        <w:t xml:space="preserve"> </w:t>
      </w:r>
      <w:proofErr w:type="spellStart"/>
      <w:r w:rsidRPr="00840DB4">
        <w:t>the</w:t>
      </w:r>
      <w:proofErr w:type="spellEnd"/>
      <w:r w:rsidRPr="00840DB4">
        <w:t xml:space="preserve"> </w:t>
      </w:r>
      <w:proofErr w:type="spellStart"/>
      <w:r w:rsidRPr="00840DB4">
        <w:t>suitability</w:t>
      </w:r>
      <w:proofErr w:type="spellEnd"/>
      <w:r w:rsidRPr="00840DB4">
        <w:t xml:space="preserve"> of </w:t>
      </w:r>
      <w:proofErr w:type="spellStart"/>
      <w:r w:rsidRPr="00840DB4">
        <w:t>the</w:t>
      </w:r>
      <w:proofErr w:type="spellEnd"/>
      <w:r w:rsidRPr="00840DB4">
        <w:t xml:space="preserve"> International </w:t>
      </w:r>
      <w:proofErr w:type="spellStart"/>
      <w:r w:rsidRPr="00840DB4">
        <w:t>Public</w:t>
      </w:r>
      <w:proofErr w:type="spellEnd"/>
      <w:r w:rsidRPr="00840DB4">
        <w:t xml:space="preserve"> Sector </w:t>
      </w:r>
      <w:proofErr w:type="spellStart"/>
      <w:r w:rsidRPr="00840DB4">
        <w:t>Accounting</w:t>
      </w:r>
      <w:proofErr w:type="spellEnd"/>
      <w:r w:rsidRPr="00840DB4">
        <w:t xml:space="preserve"> </w:t>
      </w:r>
      <w:proofErr w:type="spellStart"/>
      <w:r w:rsidRPr="00840DB4">
        <w:t>Standards</w:t>
      </w:r>
      <w:proofErr w:type="spellEnd"/>
      <w:r w:rsidRPr="00840DB4">
        <w:t xml:space="preserve"> </w:t>
      </w:r>
      <w:proofErr w:type="spellStart"/>
      <w:r w:rsidRPr="00840DB4">
        <w:t>for</w:t>
      </w:r>
      <w:proofErr w:type="spellEnd"/>
      <w:r w:rsidRPr="00840DB4">
        <w:t xml:space="preserve"> </w:t>
      </w:r>
      <w:proofErr w:type="spellStart"/>
      <w:r w:rsidRPr="00840DB4">
        <w:t>the</w:t>
      </w:r>
      <w:proofErr w:type="spellEnd"/>
      <w:r w:rsidRPr="00840DB4">
        <w:t xml:space="preserve"> </w:t>
      </w:r>
      <w:proofErr w:type="spellStart"/>
      <w:r w:rsidRPr="00840DB4">
        <w:t>Member</w:t>
      </w:r>
      <w:proofErr w:type="spellEnd"/>
      <w:r w:rsidRPr="00840DB4">
        <w:t xml:space="preserve"> </w:t>
      </w:r>
      <w:proofErr w:type="spellStart"/>
      <w:r w:rsidRPr="00840DB4">
        <w:t>States</w:t>
      </w:r>
      <w:proofErr w:type="spellEnd"/>
      <w:r w:rsidRPr="00840DB4">
        <w:t>”.</w:t>
      </w:r>
      <w:r w:rsidR="004605F5">
        <w:t xml:space="preserve"> </w:t>
      </w:r>
    </w:p>
    <w:p w:rsidR="00840DB4" w:rsidRPr="00840DB4" w:rsidRDefault="00840DB4" w:rsidP="00840DB4">
      <w:r w:rsidRPr="00840DB4">
        <w:t>El 15 de febrero de 2012 la Comisión inició la consulta pública, la cual finalizó el 11 de mayo de 2012</w:t>
      </w:r>
      <w:r w:rsidR="00E573E4">
        <w:t>;</w:t>
      </w:r>
      <w:r w:rsidRPr="00840DB4">
        <w:t xml:space="preserve"> un </w:t>
      </w:r>
      <w:hyperlink r:id="rId10" w:history="1">
        <w:r w:rsidRPr="00840DB4">
          <w:rPr>
            <w:rStyle w:val="Hyperlink"/>
          </w:rPr>
          <w:t>res</w:t>
        </w:r>
        <w:r w:rsidRPr="00840DB4">
          <w:rPr>
            <w:rStyle w:val="Hyperlink"/>
          </w:rPr>
          <w:t>u</w:t>
        </w:r>
        <w:r w:rsidRPr="00840DB4">
          <w:rPr>
            <w:rStyle w:val="Hyperlink"/>
          </w:rPr>
          <w:t>men</w:t>
        </w:r>
      </w:hyperlink>
      <w:r w:rsidRPr="00840DB4">
        <w:t xml:space="preserve"> sobre los resultados de dicha consulta fue publicado por la </w:t>
      </w:r>
      <w:proofErr w:type="spellStart"/>
      <w:r w:rsidRPr="00840DB4">
        <w:t>Eurostat</w:t>
      </w:r>
      <w:proofErr w:type="spellEnd"/>
      <w:r w:rsidRPr="00840DB4">
        <w:t xml:space="preserve"> el 18 de diciembre de 2012.</w:t>
      </w:r>
      <w:r w:rsidR="004605F5">
        <w:t xml:space="preserve"> </w:t>
      </w:r>
      <w:r w:rsidRPr="00840DB4">
        <w:t xml:space="preserve">Algunas cifras interesantes: </w:t>
      </w:r>
    </w:p>
    <w:p w:rsidR="00840DB4" w:rsidRPr="00840DB4" w:rsidRDefault="00840DB4" w:rsidP="00840DB4">
      <w:r w:rsidRPr="00840DB4">
        <w:t>El 38% de los que respondieron la encuesta considera que es adecuado implementar las NICSP en la Unión Europea porque mejora</w:t>
      </w:r>
      <w:r w:rsidR="00E573E4">
        <w:t>n</w:t>
      </w:r>
      <w:r w:rsidRPr="00840DB4">
        <w:t xml:space="preserve"> la rendición de cuentas, la transparencia y la comparabilidad de la información del sector público, especialmente si se tiene en cuenta la crisis de la deuda soberana de los </w:t>
      </w:r>
      <w:r w:rsidR="00E573E4" w:rsidRPr="00840DB4">
        <w:t>países</w:t>
      </w:r>
      <w:r w:rsidRPr="00840DB4">
        <w:t>.</w:t>
      </w:r>
      <w:r w:rsidR="004605F5">
        <w:t xml:space="preserve"> </w:t>
      </w:r>
    </w:p>
    <w:p w:rsidR="00840DB4" w:rsidRPr="00840DB4" w:rsidRDefault="00840DB4" w:rsidP="00840DB4">
      <w:r w:rsidRPr="00840DB4">
        <w:t>El 31% de los encuestados cree que las NICSP son parcialmente adecuadas</w:t>
      </w:r>
      <w:r w:rsidR="003C1DB2">
        <w:t>;</w:t>
      </w:r>
      <w:r w:rsidRPr="00840DB4">
        <w:t xml:space="preserve"> están de acuerdo en la necesidad de desarrollar, para todo el sector público de la Unión Europea, un sistema de contabilidad del devengo</w:t>
      </w:r>
      <w:r w:rsidR="003C1DB2">
        <w:t>;</w:t>
      </w:r>
      <w:r w:rsidRPr="00840DB4">
        <w:t xml:space="preserve"> sin embargo, tienen reservas en cuanto a si este sistema debe ser las NICSP</w:t>
      </w:r>
      <w:r w:rsidR="003C1DB2">
        <w:t>. P</w:t>
      </w:r>
      <w:r w:rsidRPr="00840DB4">
        <w:t xml:space="preserve">or ejemplo, se afirma: </w:t>
      </w:r>
    </w:p>
    <w:p w:rsidR="00840DB4" w:rsidRPr="00840DB4" w:rsidRDefault="00840DB4" w:rsidP="00840DB4">
      <w:pPr>
        <w:rPr>
          <w:lang w:val="en-US"/>
        </w:rPr>
      </w:pPr>
      <w:r w:rsidRPr="00840DB4">
        <w:rPr>
          <w:lang w:val="en-US"/>
        </w:rPr>
        <w:t>“Some respondents considered that IPSAS was not suitable for preparing statistical data, such as national accounts, government finance statistics and the reporting for the excessive deficit procedure.</w:t>
      </w:r>
    </w:p>
    <w:p w:rsidR="00840DB4" w:rsidRPr="00840DB4" w:rsidRDefault="00840DB4" w:rsidP="00840DB4">
      <w:pPr>
        <w:rPr>
          <w:lang w:val="en-US"/>
        </w:rPr>
      </w:pPr>
      <w:r w:rsidRPr="00840DB4">
        <w:rPr>
          <w:lang w:val="en-US"/>
        </w:rPr>
        <w:lastRenderedPageBreak/>
        <w:t xml:space="preserve">The issue of the incompatibility of IPSAS with the accounting laws in some EU countries was also raised. Several respondents also argued that those countries, regions and </w:t>
      </w:r>
      <w:proofErr w:type="spellStart"/>
      <w:r w:rsidRPr="00840DB4">
        <w:rPr>
          <w:lang w:val="en-US"/>
        </w:rPr>
        <w:t>organisation</w:t>
      </w:r>
      <w:proofErr w:type="spellEnd"/>
      <w:r w:rsidRPr="00840DB4">
        <w:rPr>
          <w:lang w:val="en-US"/>
        </w:rPr>
        <w:t xml:space="preserve"> that had attempted to implement IPSAS needed to adapt considerably the standards to their own situations”.</w:t>
      </w:r>
      <w:r w:rsidR="004605F5">
        <w:rPr>
          <w:lang w:val="en-US"/>
        </w:rPr>
        <w:t xml:space="preserve"> </w:t>
      </w:r>
    </w:p>
    <w:p w:rsidR="00840DB4" w:rsidRPr="00840DB4" w:rsidRDefault="00840DB4" w:rsidP="00840DB4">
      <w:r w:rsidRPr="00840DB4">
        <w:t xml:space="preserve">Finalmente, el 28% de los encuestados </w:t>
      </w:r>
      <w:r w:rsidR="005D44AC">
        <w:t>respondió</w:t>
      </w:r>
      <w:r w:rsidRPr="00840DB4">
        <w:t xml:space="preserve"> que las NICSP no son adecuadas para la Unión Europea, debido, entre otros aspectos a:</w:t>
      </w:r>
    </w:p>
    <w:p w:rsidR="00840DB4" w:rsidRPr="00840DB4" w:rsidRDefault="00840DB4" w:rsidP="00840DB4">
      <w:pPr>
        <w:rPr>
          <w:lang w:val="en-US"/>
        </w:rPr>
      </w:pPr>
      <w:r w:rsidRPr="00840DB4">
        <w:rPr>
          <w:lang w:val="en-US"/>
        </w:rPr>
        <w:t>“</w:t>
      </w:r>
      <w:proofErr w:type="spellStart"/>
      <w:r w:rsidRPr="00840DB4">
        <w:rPr>
          <w:lang w:val="en-US"/>
        </w:rPr>
        <w:t>Its</w:t>
      </w:r>
      <w:proofErr w:type="spellEnd"/>
      <w:r w:rsidRPr="00840DB4">
        <w:rPr>
          <w:lang w:val="en-US"/>
        </w:rPr>
        <w:t xml:space="preserve"> incompleteness with respect to public sector accounting requirements (e.g. with regard to taxation, social benefits); The complexity of IPSAS (e.g. it would not be feasible for small entities to implement); The heaviness of rules on disclosure; The conceptual framework (which is currently under review by the IPSAS Board and might lead to a complete revision of existing standards); The strong link to IFRS; and The IPSAS governance arrangements.</w:t>
      </w:r>
      <w:r w:rsidR="005D44AC">
        <w:rPr>
          <w:lang w:val="en-US"/>
        </w:rPr>
        <w:t>”</w:t>
      </w:r>
    </w:p>
    <w:p w:rsidR="00840DB4" w:rsidRPr="00840DB4" w:rsidRDefault="00840DB4" w:rsidP="00840DB4">
      <w:r w:rsidRPr="00840DB4">
        <w:t>Como se puede apreciar, en Europa no hay</w:t>
      </w:r>
      <w:r w:rsidR="004605F5">
        <w:t xml:space="preserve"> </w:t>
      </w:r>
      <w:r w:rsidRPr="00840DB4">
        <w:t xml:space="preserve">un acuerdo en torno a la adopción de IPSAS para la contabilidad de las entidades de Gobierno; primero se estudia, luego se </w:t>
      </w:r>
      <w:r w:rsidR="005D44AC" w:rsidRPr="00840DB4">
        <w:t>debate</w:t>
      </w:r>
      <w:r w:rsidRPr="00840DB4">
        <w:t xml:space="preserve"> y</w:t>
      </w:r>
      <w:r w:rsidR="005D44AC">
        <w:t>,</w:t>
      </w:r>
      <w:r w:rsidRPr="00840DB4">
        <w:t xml:space="preserve"> por último</w:t>
      </w:r>
      <w:r w:rsidR="005D44AC">
        <w:t>,</w:t>
      </w:r>
      <w:r w:rsidRPr="00840DB4">
        <w:t xml:space="preserve"> se decide. En Colombia algunos quieren decidir sin estudiar y debatir</w:t>
      </w:r>
      <w:r w:rsidR="00681A32">
        <w:t>. I</w:t>
      </w:r>
      <w:r w:rsidRPr="00840DB4">
        <w:t>ncluso descalifican los intentos por promover discusiones al respecto, afirmando que el tema “ya ha sido superado” y el único camino que queda es la adopción. ¡Qué ingenuos!</w:t>
      </w:r>
      <w:bookmarkStart w:id="0" w:name="_GoBack"/>
      <w:bookmarkEnd w:id="0"/>
      <w:r w:rsidRPr="00840DB4">
        <w:t xml:space="preserve"> </w:t>
      </w:r>
    </w:p>
    <w:p w:rsidR="00840DB4" w:rsidRPr="00840DB4" w:rsidRDefault="00840DB4" w:rsidP="00FA7F35">
      <w:pPr>
        <w:jc w:val="right"/>
      </w:pPr>
      <w:r w:rsidRPr="00840DB4">
        <w:rPr>
          <w:i/>
        </w:rPr>
        <w:t>Germán Eduardo Espinosa Flórez</w:t>
      </w:r>
    </w:p>
    <w:sectPr w:rsidR="00840DB4" w:rsidRPr="00840DB4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3E" w:rsidRDefault="0067003E" w:rsidP="00EE7812">
      <w:pPr>
        <w:spacing w:after="0" w:line="240" w:lineRule="auto"/>
      </w:pPr>
      <w:r>
        <w:separator/>
      </w:r>
    </w:p>
  </w:endnote>
  <w:endnote w:type="continuationSeparator" w:id="0">
    <w:p w:rsidR="0067003E" w:rsidRDefault="0067003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3E" w:rsidRDefault="0067003E" w:rsidP="00EE7812">
      <w:pPr>
        <w:spacing w:after="0" w:line="240" w:lineRule="auto"/>
      </w:pPr>
      <w:r>
        <w:separator/>
      </w:r>
    </w:p>
  </w:footnote>
  <w:footnote w:type="continuationSeparator" w:id="0">
    <w:p w:rsidR="0067003E" w:rsidRDefault="0067003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63</w:t>
    </w:r>
    <w:r w:rsidR="00840DB4">
      <w:t>5</w:t>
    </w:r>
    <w:r w:rsidR="00667D4D">
      <w:t>,</w:t>
    </w:r>
    <w:r w:rsidR="009D09BB">
      <w:t xml:space="preserve"> </w:t>
    </w:r>
    <w:r w:rsidR="00EB30A7">
      <w:t>enero</w:t>
    </w:r>
    <w:r w:rsidR="00E00D55">
      <w:t xml:space="preserve"> </w:t>
    </w:r>
    <w:r w:rsidR="00EB30A7">
      <w:t>14</w:t>
    </w:r>
    <w:r w:rsidR="0005771D">
      <w:t xml:space="preserve"> </w:t>
    </w:r>
    <w:r w:rsidR="0080786C">
      <w:t>de 201</w:t>
    </w:r>
    <w:r w:rsidR="00EB30A7">
      <w:t>3</w:t>
    </w:r>
  </w:p>
  <w:p w:rsidR="0046164F" w:rsidRDefault="0067003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40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6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31"/>
  </w:num>
  <w:num w:numId="30">
    <w:abstractNumId w:val="35"/>
  </w:num>
  <w:num w:numId="31">
    <w:abstractNumId w:val="4"/>
  </w:num>
  <w:num w:numId="32">
    <w:abstractNumId w:val="41"/>
  </w:num>
  <w:num w:numId="33">
    <w:abstractNumId w:val="11"/>
  </w:num>
  <w:num w:numId="34">
    <w:abstractNumId w:val="43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4"/>
  </w:num>
  <w:num w:numId="42">
    <w:abstractNumId w:val="42"/>
  </w:num>
  <w:num w:numId="43">
    <w:abstractNumId w:val="18"/>
  </w:num>
  <w:num w:numId="44">
    <w:abstractNumId w:val="29"/>
  </w:num>
  <w:num w:numId="45">
    <w:abstractNumId w:val="2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87EC0"/>
    <w:rsid w:val="0009077D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E0106"/>
    <w:rsid w:val="001E02A7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3E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C72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695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ED7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2E02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pp.eurostat.ec.europa.eu/cache/ITY_PUBLIC/D4_2012/EN/D4_2012-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-lex.europa.eu/LexUriServ/LexUriServ.do?uri=OJ:L:2011:306:0041:0047:ES: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2ED2-31DD-41B3-983F-9D0AB5B9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2013-01-13T21:37:00Z</dcterms:created>
  <dcterms:modified xsi:type="dcterms:W3CDTF">2013-01-13T21:47:00Z</dcterms:modified>
</cp:coreProperties>
</file>