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18" w:rsidRPr="000F7618" w:rsidRDefault="000F7618" w:rsidP="000F761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0F7618">
        <w:rPr>
          <w:position w:val="-7"/>
          <w:sz w:val="121"/>
        </w:rPr>
        <w:t>U</w:t>
      </w:r>
    </w:p>
    <w:p w:rsidR="00BC33AB" w:rsidRDefault="000F7618" w:rsidP="006A289C">
      <w:r>
        <w:t>n gran hito de la historia contable fue la recopilación de las prácticas.</w:t>
      </w:r>
      <w:r w:rsidR="005541C5">
        <w:t xml:space="preserve"> </w:t>
      </w:r>
      <w:r w:rsidR="00BC33AB">
        <w:t xml:space="preserve">Ciertamente esta fue la virtud de Luca </w:t>
      </w:r>
      <w:proofErr w:type="spellStart"/>
      <w:r w:rsidR="00BC33AB">
        <w:t>Pacioli</w:t>
      </w:r>
      <w:proofErr w:type="spellEnd"/>
      <w:r w:rsidR="00BC33AB">
        <w:t xml:space="preserve"> en su célebre y poco conocida “</w:t>
      </w:r>
      <w:proofErr w:type="spellStart"/>
      <w:r w:rsidR="00BC33AB" w:rsidRPr="00BC33AB">
        <w:t>Summa</w:t>
      </w:r>
      <w:proofErr w:type="spellEnd"/>
      <w:r w:rsidR="00BC33AB" w:rsidRPr="00BC33AB">
        <w:t xml:space="preserve"> de </w:t>
      </w:r>
      <w:proofErr w:type="spellStart"/>
      <w:r w:rsidR="00BC33AB" w:rsidRPr="00BC33AB">
        <w:t>arithmetica</w:t>
      </w:r>
      <w:proofErr w:type="spellEnd"/>
      <w:r w:rsidR="00BC33AB" w:rsidRPr="00BC33AB">
        <w:t xml:space="preserve">, </w:t>
      </w:r>
      <w:proofErr w:type="spellStart"/>
      <w:r w:rsidR="00BC33AB" w:rsidRPr="00BC33AB">
        <w:t>geometria</w:t>
      </w:r>
      <w:proofErr w:type="spellEnd"/>
      <w:r w:rsidR="00BC33AB" w:rsidRPr="00BC33AB">
        <w:t xml:space="preserve">, </w:t>
      </w:r>
      <w:proofErr w:type="spellStart"/>
      <w:r w:rsidR="00BC33AB" w:rsidRPr="00BC33AB">
        <w:t>proportioni</w:t>
      </w:r>
      <w:proofErr w:type="spellEnd"/>
      <w:r w:rsidR="00BC33AB" w:rsidRPr="00BC33AB">
        <w:t xml:space="preserve"> et </w:t>
      </w:r>
      <w:proofErr w:type="spellStart"/>
      <w:r w:rsidR="00BC33AB" w:rsidRPr="00BC33AB">
        <w:t>proportionalita</w:t>
      </w:r>
      <w:proofErr w:type="spellEnd"/>
      <w:r w:rsidR="00BC33AB">
        <w:t>”.</w:t>
      </w:r>
    </w:p>
    <w:p w:rsidR="007347AE" w:rsidRDefault="005541C5" w:rsidP="006A289C">
      <w:r>
        <w:t>La debida formación de un profesional contable debe pasar por la inevitable lectura de ciertos documentos</w:t>
      </w:r>
      <w:r w:rsidR="000A6BC7">
        <w:t xml:space="preserve">. Además del documento de </w:t>
      </w:r>
      <w:proofErr w:type="spellStart"/>
      <w:r w:rsidR="000A6BC7">
        <w:t>Pacioli</w:t>
      </w:r>
      <w:proofErr w:type="spellEnd"/>
      <w:r>
        <w:t xml:space="preserve">, entre </w:t>
      </w:r>
      <w:r w:rsidR="00B4047D">
        <w:t>los libros de lectura necesaria</w:t>
      </w:r>
      <w:r>
        <w:t xml:space="preserve"> ciertamente se encuentra el </w:t>
      </w:r>
      <w:r w:rsidR="006302BC">
        <w:t>“</w:t>
      </w:r>
      <w:r w:rsidR="006302BC" w:rsidRPr="006302BC">
        <w:t>Inventario de los principios de contabilidad generalmente aceptados</w:t>
      </w:r>
      <w:r w:rsidR="006302BC">
        <w:t>” de Paul Grady.</w:t>
      </w:r>
    </w:p>
    <w:p w:rsidR="00B450B7" w:rsidRDefault="00B450B7" w:rsidP="006A289C">
      <w:r>
        <w:t xml:space="preserve">Otro gran suceso fue la formulación de teorías, que desembocaron en marcos conceptuales. </w:t>
      </w:r>
      <w:r w:rsidR="005528A0">
        <w:t xml:space="preserve">Es así como </w:t>
      </w:r>
      <w:r w:rsidR="000523BF">
        <w:t>un</w:t>
      </w:r>
      <w:r w:rsidR="005528A0">
        <w:t xml:space="preserve"> documento de lectura necesaria es “</w:t>
      </w:r>
      <w:r w:rsidR="005528A0" w:rsidRPr="005528A0">
        <w:t>Una declaración de la teoría contable básica</w:t>
      </w:r>
      <w:r w:rsidR="005528A0">
        <w:t xml:space="preserve">” cuyo autor es </w:t>
      </w:r>
      <w:r w:rsidR="003D74B9">
        <w:t xml:space="preserve">la </w:t>
      </w:r>
      <w:r w:rsidR="003D74B9" w:rsidRPr="003D74B9">
        <w:t xml:space="preserve">American </w:t>
      </w:r>
      <w:proofErr w:type="spellStart"/>
      <w:r w:rsidR="003D74B9" w:rsidRPr="003D74B9">
        <w:t>Accounting</w:t>
      </w:r>
      <w:proofErr w:type="spellEnd"/>
      <w:r w:rsidR="003D74B9" w:rsidRPr="003D74B9">
        <w:t xml:space="preserve"> </w:t>
      </w:r>
      <w:proofErr w:type="spellStart"/>
      <w:r w:rsidR="003D74B9" w:rsidRPr="003D74B9">
        <w:t>Association</w:t>
      </w:r>
      <w:proofErr w:type="spellEnd"/>
      <w:r w:rsidR="00E5408B">
        <w:t xml:space="preserve"> (AAA)</w:t>
      </w:r>
      <w:r w:rsidR="003D74B9">
        <w:t>.</w:t>
      </w:r>
    </w:p>
    <w:p w:rsidR="003D74B9" w:rsidRDefault="003D74B9" w:rsidP="006A289C">
      <w:r>
        <w:t xml:space="preserve">Tanto por su importancia mundial como por su influencia en la elaboración del Decreto reglamentario </w:t>
      </w:r>
      <w:hyperlink r:id="rId9" w:history="1">
        <w:r w:rsidRPr="009342B0">
          <w:rPr>
            <w:rStyle w:val="Hyperlink"/>
          </w:rPr>
          <w:t>2649</w:t>
        </w:r>
      </w:hyperlink>
      <w:r>
        <w:t xml:space="preserve"> de 1993, también debe ser objeto de lectura la serie “Concepto</w:t>
      </w:r>
      <w:r w:rsidR="00C748E8">
        <w:t>s</w:t>
      </w:r>
      <w:r>
        <w:t xml:space="preserve">” del </w:t>
      </w:r>
      <w:proofErr w:type="spellStart"/>
      <w:r w:rsidR="00E5408B" w:rsidRPr="00E5408B">
        <w:t>Financial</w:t>
      </w:r>
      <w:proofErr w:type="spellEnd"/>
      <w:r w:rsidR="00E5408B" w:rsidRPr="00E5408B">
        <w:t xml:space="preserve"> </w:t>
      </w:r>
      <w:proofErr w:type="spellStart"/>
      <w:r w:rsidR="00E5408B" w:rsidRPr="00E5408B">
        <w:t>Accounting</w:t>
      </w:r>
      <w:proofErr w:type="spellEnd"/>
      <w:r w:rsidR="00E5408B" w:rsidRPr="00E5408B">
        <w:t xml:space="preserve"> </w:t>
      </w:r>
      <w:proofErr w:type="spellStart"/>
      <w:r w:rsidR="00E5408B" w:rsidRPr="00E5408B">
        <w:t>Standards</w:t>
      </w:r>
      <w:proofErr w:type="spellEnd"/>
      <w:r w:rsidR="00E5408B" w:rsidRPr="00E5408B">
        <w:t xml:space="preserve"> </w:t>
      </w:r>
      <w:proofErr w:type="spellStart"/>
      <w:r w:rsidR="00E5408B" w:rsidRPr="00E5408B">
        <w:t>Board</w:t>
      </w:r>
      <w:proofErr w:type="spellEnd"/>
      <w:r w:rsidR="00E5408B" w:rsidRPr="00E5408B">
        <w:t xml:space="preserve"> (FASB)</w:t>
      </w:r>
      <w:r w:rsidR="00E5408B">
        <w:t>.</w:t>
      </w:r>
    </w:p>
    <w:p w:rsidR="009342B0" w:rsidRDefault="008634CE" w:rsidP="006A289C">
      <w:r>
        <w:t>Con tardanza el IASC publicó su “</w:t>
      </w:r>
      <w:r w:rsidRPr="008634CE">
        <w:t xml:space="preserve">Conceptual Framework </w:t>
      </w:r>
      <w:proofErr w:type="spellStart"/>
      <w:r w:rsidRPr="008634CE">
        <w:t>for</w:t>
      </w:r>
      <w:proofErr w:type="spellEnd"/>
      <w:r w:rsidRPr="008634CE">
        <w:t xml:space="preserve"> </w:t>
      </w:r>
      <w:proofErr w:type="spellStart"/>
      <w:r w:rsidRPr="008634CE">
        <w:t>Financial</w:t>
      </w:r>
      <w:proofErr w:type="spellEnd"/>
      <w:r w:rsidRPr="008634CE">
        <w:t xml:space="preserve"> </w:t>
      </w:r>
      <w:proofErr w:type="spellStart"/>
      <w:r w:rsidRPr="008634CE">
        <w:t>Reporting</w:t>
      </w:r>
      <w:proofErr w:type="spellEnd"/>
      <w:r>
        <w:t>” que, lentamente</w:t>
      </w:r>
      <w:r w:rsidR="004A08C9">
        <w:t>,</w:t>
      </w:r>
      <w:r>
        <w:t xml:space="preserve"> ha venido siendo objeto de actualizaciones por parte del actual IASB.</w:t>
      </w:r>
      <w:r w:rsidR="00485917">
        <w:t xml:space="preserve"> Recientemente este organismo ha manifestado que retomará sus trabajos al respecto y procurará avanzar en varios asuntos, como por ejemplo el de la medición.</w:t>
      </w:r>
    </w:p>
    <w:p w:rsidR="00FF428C" w:rsidRDefault="00A638EE" w:rsidP="00FF428C">
      <w:r>
        <w:t>M</w:t>
      </w:r>
      <w:r w:rsidR="00FF428C">
        <w:t xml:space="preserve">ediante el Decreto </w:t>
      </w:r>
      <w:hyperlink r:id="rId10" w:history="1">
        <w:r w:rsidR="00FF428C" w:rsidRPr="00BC33AB">
          <w:rPr>
            <w:rStyle w:val="Hyperlink"/>
          </w:rPr>
          <w:t>2784</w:t>
        </w:r>
      </w:hyperlink>
      <w:r w:rsidR="00FF428C">
        <w:t xml:space="preserve"> de 2012 se introdujo al derecho contable colombiano el actual marco de trabajo de IASB.</w:t>
      </w:r>
    </w:p>
    <w:p w:rsidR="00F66D18" w:rsidRDefault="005D45EA" w:rsidP="006A289C">
      <w:r>
        <w:lastRenderedPageBreak/>
        <w:t>Aunque se argumenta que una de las virtudes del actual modelo de IFRS es estar basado en principios, aún las normas o estándares priman sobre el marco de trabajo.</w:t>
      </w:r>
    </w:p>
    <w:p w:rsidR="00A638EE" w:rsidRDefault="00FF428C" w:rsidP="008A6744">
      <w:pPr>
        <w:rPr>
          <w:lang w:val="en-US"/>
        </w:rPr>
      </w:pPr>
      <w:r>
        <w:t>Ante el anuncio de IASB</w:t>
      </w:r>
      <w:r w:rsidR="008A6744">
        <w:t>,</w:t>
      </w:r>
      <w:r>
        <w:t xml:space="preserve"> resulta de particular importancia el esfuerzo conjunto del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(EFRAG), </w:t>
      </w:r>
      <w:r>
        <w:t>la</w:t>
      </w:r>
      <w:r>
        <w:t xml:space="preserve"> French</w:t>
      </w:r>
      <w:r>
        <w:t xml:space="preserve"> </w:t>
      </w:r>
      <w:proofErr w:type="spellStart"/>
      <w:r w:rsidRPr="0086049D">
        <w:t>Autorité</w:t>
      </w:r>
      <w:proofErr w:type="spellEnd"/>
      <w:r w:rsidRPr="0086049D">
        <w:t xml:space="preserve"> des Normes </w:t>
      </w:r>
      <w:proofErr w:type="spellStart"/>
      <w:r w:rsidRPr="0086049D">
        <w:t>Comptables</w:t>
      </w:r>
      <w:proofErr w:type="spellEnd"/>
      <w:r w:rsidRPr="0086049D">
        <w:t xml:space="preserve"> (ANC), </w:t>
      </w:r>
      <w:r w:rsidR="0086049D">
        <w:t>el</w:t>
      </w:r>
      <w:r w:rsidRPr="0086049D">
        <w:t xml:space="preserve"> </w:t>
      </w:r>
      <w:proofErr w:type="spellStart"/>
      <w:r w:rsidRPr="0086049D">
        <w:t>Accounting</w:t>
      </w:r>
      <w:proofErr w:type="spellEnd"/>
      <w:r w:rsidRPr="0086049D">
        <w:t xml:space="preserve"> </w:t>
      </w:r>
      <w:proofErr w:type="spellStart"/>
      <w:r w:rsidRPr="0086049D">
        <w:t>Standards</w:t>
      </w:r>
      <w:proofErr w:type="spellEnd"/>
      <w:r w:rsidRPr="0086049D">
        <w:t xml:space="preserve"> </w:t>
      </w:r>
      <w:proofErr w:type="spellStart"/>
      <w:r w:rsidRPr="0086049D">
        <w:t>Committee</w:t>
      </w:r>
      <w:proofErr w:type="spellEnd"/>
      <w:r w:rsidRPr="0086049D">
        <w:t xml:space="preserve"> of </w:t>
      </w:r>
      <w:proofErr w:type="spellStart"/>
      <w:r w:rsidRPr="0086049D">
        <w:t>Germany</w:t>
      </w:r>
      <w:proofErr w:type="spellEnd"/>
      <w:r w:rsidRPr="0086049D">
        <w:t xml:space="preserve"> (ASCG)</w:t>
      </w:r>
      <w:r w:rsidR="0086049D">
        <w:t>, el</w:t>
      </w:r>
      <w:r w:rsidRPr="0086049D">
        <w:t xml:space="preserve"> Organismo Italiano di </w:t>
      </w:r>
      <w:proofErr w:type="spellStart"/>
      <w:r w:rsidRPr="0086049D">
        <w:t>Contabilità</w:t>
      </w:r>
      <w:proofErr w:type="spellEnd"/>
      <w:r w:rsidRPr="0086049D">
        <w:t xml:space="preserve"> (OIC) </w:t>
      </w:r>
      <w:r w:rsidR="00131041">
        <w:t xml:space="preserve">y </w:t>
      </w:r>
      <w:r w:rsidR="0086049D">
        <w:t>el</w:t>
      </w:r>
      <w:r w:rsidRPr="0086049D">
        <w:t xml:space="preserve"> UK </w:t>
      </w:r>
      <w:proofErr w:type="spellStart"/>
      <w:r w:rsidRPr="0086049D">
        <w:t>Financial</w:t>
      </w:r>
      <w:proofErr w:type="spellEnd"/>
      <w:r w:rsidRPr="0086049D">
        <w:t xml:space="preserve"> </w:t>
      </w:r>
      <w:proofErr w:type="spellStart"/>
      <w:r w:rsidRPr="0086049D">
        <w:t>Reporting</w:t>
      </w:r>
      <w:proofErr w:type="spellEnd"/>
      <w:r w:rsidRPr="0086049D">
        <w:t xml:space="preserve"> Council (FRC)</w:t>
      </w:r>
      <w:r w:rsidR="0086049D">
        <w:t xml:space="preserve">, que han acordado </w:t>
      </w:r>
      <w:r w:rsidR="00131041">
        <w:t>actuar</w:t>
      </w:r>
      <w:r w:rsidR="0086049D">
        <w:t xml:space="preserve"> conjuntamente para influir en la elaboración del marco de trabajo de IASB.</w:t>
      </w:r>
      <w:r w:rsidR="00C120B9">
        <w:t xml:space="preserve"> </w:t>
      </w:r>
      <w:proofErr w:type="spellStart"/>
      <w:r w:rsidR="00C120B9" w:rsidRPr="008A6744">
        <w:rPr>
          <w:lang w:val="en-US"/>
        </w:rPr>
        <w:t>Sus</w:t>
      </w:r>
      <w:proofErr w:type="spellEnd"/>
      <w:r w:rsidR="00C120B9" w:rsidRPr="008A6744">
        <w:rPr>
          <w:lang w:val="en-US"/>
        </w:rPr>
        <w:t xml:space="preserve"> </w:t>
      </w:r>
      <w:proofErr w:type="spellStart"/>
      <w:r w:rsidR="00C120B9" w:rsidRPr="008A6744">
        <w:rPr>
          <w:lang w:val="en-US"/>
        </w:rPr>
        <w:t>motivos</w:t>
      </w:r>
      <w:proofErr w:type="spellEnd"/>
      <w:r w:rsidR="00C120B9" w:rsidRPr="008A6744">
        <w:rPr>
          <w:lang w:val="en-US"/>
        </w:rPr>
        <w:t xml:space="preserve"> y </w:t>
      </w:r>
      <w:proofErr w:type="spellStart"/>
      <w:r w:rsidR="00C120B9" w:rsidRPr="008A6744">
        <w:rPr>
          <w:lang w:val="en-US"/>
        </w:rPr>
        <w:t>propósitos</w:t>
      </w:r>
      <w:proofErr w:type="spellEnd"/>
      <w:r w:rsidR="00C120B9" w:rsidRPr="008A6744">
        <w:rPr>
          <w:lang w:val="en-US"/>
        </w:rPr>
        <w:t xml:space="preserve"> </w:t>
      </w:r>
      <w:proofErr w:type="spellStart"/>
      <w:r w:rsidR="00C120B9" w:rsidRPr="008A6744">
        <w:rPr>
          <w:lang w:val="en-US"/>
        </w:rPr>
        <w:t>pueden</w:t>
      </w:r>
      <w:proofErr w:type="spellEnd"/>
      <w:r w:rsidR="00C120B9" w:rsidRPr="008A6744">
        <w:rPr>
          <w:lang w:val="en-US"/>
        </w:rPr>
        <w:t xml:space="preserve"> verse en el </w:t>
      </w:r>
      <w:proofErr w:type="spellStart"/>
      <w:r w:rsidR="00C120B9" w:rsidRPr="008A6744">
        <w:rPr>
          <w:lang w:val="en-US"/>
        </w:rPr>
        <w:t>documento</w:t>
      </w:r>
      <w:proofErr w:type="spellEnd"/>
      <w:r w:rsidR="00C120B9" w:rsidRPr="008A6744">
        <w:rPr>
          <w:lang w:val="en-US"/>
        </w:rPr>
        <w:t xml:space="preserve"> </w:t>
      </w:r>
      <w:hyperlink r:id="rId11" w:history="1">
        <w:r w:rsidR="00C120B9" w:rsidRPr="008A6744">
          <w:rPr>
            <w:rStyle w:val="Hyperlink"/>
            <w:lang w:val="en-US"/>
          </w:rPr>
          <w:t>Getting a Better Framework OUR STRATEGY</w:t>
        </w:r>
      </w:hyperlink>
      <w:r w:rsidR="008A6744" w:rsidRPr="008A6744">
        <w:rPr>
          <w:lang w:val="en-US"/>
        </w:rPr>
        <w:t xml:space="preserve">, en el </w:t>
      </w:r>
      <w:proofErr w:type="spellStart"/>
      <w:r w:rsidR="008A6744" w:rsidRPr="008A6744">
        <w:rPr>
          <w:lang w:val="en-US"/>
        </w:rPr>
        <w:t>cual</w:t>
      </w:r>
      <w:proofErr w:type="spellEnd"/>
      <w:r w:rsidR="008A6744" w:rsidRPr="008A6744">
        <w:rPr>
          <w:lang w:val="en-US"/>
        </w:rPr>
        <w:t xml:space="preserve"> se lee: </w:t>
      </w:r>
      <w:r w:rsidR="00D1240B">
        <w:rPr>
          <w:lang w:val="en-US"/>
        </w:rPr>
        <w:t>“</w:t>
      </w:r>
      <w:r w:rsidR="008A6744" w:rsidRPr="00D1240B">
        <w:rPr>
          <w:i/>
          <w:lang w:val="en-US"/>
        </w:rPr>
        <w:t>A new Framework is not merely an academic exercise: both the IASB and its constituents will</w:t>
      </w:r>
      <w:r w:rsidR="00D1240B" w:rsidRPr="00D1240B">
        <w:rPr>
          <w:i/>
          <w:lang w:val="en-US"/>
        </w:rPr>
        <w:t xml:space="preserve"> </w:t>
      </w:r>
      <w:r w:rsidR="008A6744" w:rsidRPr="00D1240B">
        <w:rPr>
          <w:i/>
          <w:lang w:val="en-US"/>
        </w:rPr>
        <w:t>expect it to be closely adhered to in the development of new standards and in the revision</w:t>
      </w:r>
      <w:r w:rsidR="00D1240B" w:rsidRPr="00D1240B">
        <w:rPr>
          <w:i/>
          <w:lang w:val="en-US"/>
        </w:rPr>
        <w:t xml:space="preserve"> </w:t>
      </w:r>
      <w:r w:rsidR="008A6744" w:rsidRPr="00D1240B">
        <w:rPr>
          <w:i/>
          <w:lang w:val="en-US"/>
        </w:rPr>
        <w:t>of current accounting standards. It will also need to be considered when dealing with issues</w:t>
      </w:r>
      <w:r w:rsidR="00D1240B" w:rsidRPr="00D1240B">
        <w:rPr>
          <w:i/>
          <w:lang w:val="en-US"/>
        </w:rPr>
        <w:t xml:space="preserve"> </w:t>
      </w:r>
      <w:r w:rsidR="008A6744" w:rsidRPr="00D1240B">
        <w:rPr>
          <w:i/>
          <w:lang w:val="en-US"/>
        </w:rPr>
        <w:t>that are not addressed in accounting standards. Its in</w:t>
      </w:r>
      <w:r w:rsidR="00D1240B" w:rsidRPr="00D1240B">
        <w:rPr>
          <w:i/>
          <w:lang w:val="en-US"/>
        </w:rPr>
        <w:t>fl</w:t>
      </w:r>
      <w:r w:rsidR="008A6744" w:rsidRPr="00D1240B">
        <w:rPr>
          <w:i/>
          <w:lang w:val="en-US"/>
        </w:rPr>
        <w:t>uence will last at least for the next</w:t>
      </w:r>
      <w:r w:rsidR="00D1240B" w:rsidRPr="00D1240B">
        <w:rPr>
          <w:i/>
          <w:lang w:val="en-US"/>
        </w:rPr>
        <w:t xml:space="preserve"> </w:t>
      </w:r>
      <w:r w:rsidR="008A6744" w:rsidRPr="00D1240B">
        <w:rPr>
          <w:i/>
          <w:lang w:val="en-US"/>
        </w:rPr>
        <w:t>decade and probably for much longer. The IASB’s stakeholders around the world will make</w:t>
      </w:r>
      <w:r w:rsidR="00D1240B" w:rsidRPr="00D1240B">
        <w:rPr>
          <w:i/>
          <w:lang w:val="en-US"/>
        </w:rPr>
        <w:t xml:space="preserve"> </w:t>
      </w:r>
      <w:r w:rsidR="008A6744" w:rsidRPr="00D1240B">
        <w:rPr>
          <w:i/>
          <w:lang w:val="en-US"/>
        </w:rPr>
        <w:t>substantive and well-argued submissions. It is important that European views are among</w:t>
      </w:r>
      <w:r w:rsidR="00D1240B" w:rsidRPr="00D1240B">
        <w:rPr>
          <w:i/>
          <w:lang w:val="en-US"/>
        </w:rPr>
        <w:t xml:space="preserve"> </w:t>
      </w:r>
      <w:r w:rsidR="008A6744" w:rsidRPr="00D1240B">
        <w:rPr>
          <w:i/>
          <w:lang w:val="en-US"/>
        </w:rPr>
        <w:t>those heard in the debate.</w:t>
      </w:r>
      <w:r w:rsidR="00D1240B">
        <w:rPr>
          <w:lang w:val="en-US"/>
        </w:rPr>
        <w:t>”</w:t>
      </w:r>
      <w:r w:rsidR="00DF61B4">
        <w:rPr>
          <w:lang w:val="en-US"/>
        </w:rPr>
        <w:t xml:space="preserve"> </w:t>
      </w:r>
    </w:p>
    <w:p w:rsidR="00FF428C" w:rsidRPr="00DF61B4" w:rsidRDefault="00DF61B4" w:rsidP="008A6744">
      <w:bookmarkStart w:id="0" w:name="_GoBack"/>
      <w:bookmarkEnd w:id="0"/>
      <w:r w:rsidRPr="00DF61B4">
        <w:t>He aquí un asunto de importancia vital, en el cual debemos tener parte.</w:t>
      </w:r>
    </w:p>
    <w:p w:rsidR="008A6744" w:rsidRPr="00DF61B4" w:rsidRDefault="00DF61B4" w:rsidP="00DF61B4">
      <w:pPr>
        <w:jc w:val="right"/>
        <w:rPr>
          <w:i/>
          <w:lang w:val="en-US"/>
        </w:rPr>
      </w:pPr>
      <w:r w:rsidRPr="00DF61B4">
        <w:rPr>
          <w:i/>
          <w:lang w:val="en-US"/>
        </w:rPr>
        <w:t>Hernando Bermúdez Gómez</w:t>
      </w:r>
    </w:p>
    <w:sectPr w:rsidR="008A6744" w:rsidRPr="00DF61B4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B9" w:rsidRDefault="00D03DB9" w:rsidP="00EE7812">
      <w:pPr>
        <w:spacing w:after="0" w:line="240" w:lineRule="auto"/>
      </w:pPr>
      <w:r>
        <w:separator/>
      </w:r>
    </w:p>
  </w:endnote>
  <w:endnote w:type="continuationSeparator" w:id="0">
    <w:p w:rsidR="00D03DB9" w:rsidRDefault="00D03DB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B9" w:rsidRDefault="00D03DB9" w:rsidP="00EE7812">
      <w:pPr>
        <w:spacing w:after="0" w:line="240" w:lineRule="auto"/>
      </w:pPr>
      <w:r>
        <w:separator/>
      </w:r>
    </w:p>
  </w:footnote>
  <w:footnote w:type="continuationSeparator" w:id="0">
    <w:p w:rsidR="00D03DB9" w:rsidRDefault="00D03DB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A23AB8">
      <w:t>4</w:t>
    </w:r>
    <w:r w:rsidR="006A289C">
      <w:t>9</w:t>
    </w:r>
    <w:r w:rsidR="00667D4D">
      <w:t>,</w:t>
    </w:r>
    <w:r w:rsidR="009D09BB">
      <w:t xml:space="preserve"> </w:t>
    </w:r>
    <w:r w:rsidR="00D93293">
      <w:t xml:space="preserve">febrero </w:t>
    </w:r>
    <w:r w:rsidR="007677BE">
      <w:t>11</w:t>
    </w:r>
    <w:r w:rsidR="0005771D">
      <w:t xml:space="preserve"> </w:t>
    </w:r>
    <w:r w:rsidR="0080786C">
      <w:t>de 201</w:t>
    </w:r>
    <w:r w:rsidR="00EB30A7">
      <w:t>3</w:t>
    </w:r>
  </w:p>
  <w:p w:rsidR="0046164F" w:rsidRDefault="00D03DB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81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1B4"/>
    <w:rsid w:val="00A51278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8C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c.org.uk/Our-Work/Publications/FRC-Board/EFRAG-Getting-a-Better-Framework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2-decreto-278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B405-35E7-47B9-B5F2-87432F7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11</cp:revision>
  <cp:lastPrinted>2011-08-23T16:28:00Z</cp:lastPrinted>
  <dcterms:created xsi:type="dcterms:W3CDTF">2013-02-10T22:08:00Z</dcterms:created>
  <dcterms:modified xsi:type="dcterms:W3CDTF">2013-02-10T23:07:00Z</dcterms:modified>
</cp:coreProperties>
</file>