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122A" w14:textId="686F2129" w:rsidR="009E3E3F" w:rsidRPr="009E3E3F" w:rsidRDefault="009E3E3F" w:rsidP="009E3E3F">
      <w:pPr>
        <w:keepNext/>
        <w:framePr w:dropCap="drop" w:lines="3" w:wrap="around" w:vAnchor="text" w:hAnchor="text"/>
        <w:spacing w:after="0" w:line="926" w:lineRule="exact"/>
        <w:textAlignment w:val="baseline"/>
        <w:rPr>
          <w:position w:val="-8"/>
          <w:sz w:val="122"/>
        </w:rPr>
      </w:pPr>
      <w:r w:rsidRPr="009E3E3F">
        <w:rPr>
          <w:position w:val="-8"/>
          <w:sz w:val="122"/>
        </w:rPr>
        <w:t>A</w:t>
      </w:r>
    </w:p>
    <w:p w14:paraId="62417F01" w14:textId="64626BF7" w:rsidR="009E3E3F" w:rsidRDefault="009E3E3F" w:rsidP="009E3E3F">
      <w:r>
        <w:t xml:space="preserve"> través del artículo titulado </w:t>
      </w:r>
      <w:hyperlink r:id="rId8" w:history="1">
        <w:r w:rsidRPr="009E3E3F">
          <w:rPr>
            <w:rStyle w:val="Hyperlink"/>
            <w:i/>
            <w:iCs/>
          </w:rPr>
          <w:t>Türkiye'de E-Fatura Uygulamasinin Mükellefler Açisindan Değerlendirilmesi</w:t>
        </w:r>
      </w:hyperlink>
      <w:r>
        <w:t>, escrito por Demirkaya, Gülfidan &amp; Çelikkaya, Ali, publicado por ‎</w:t>
      </w:r>
      <w:r w:rsidRPr="009E3E3F">
        <w:rPr>
          <w:i/>
          <w:iCs/>
        </w:rPr>
        <w:t>Muhasebe ve Vergi Uygulamalari Dergisi (MUVU)</w:t>
      </w:r>
      <w:r>
        <w:t xml:space="preserve"> / Journal of Accounting &amp; Taxation Studies (JATS). 2022, Vol. 15 Issue 1, p1-19. 19p. Language: Turkish, se precisó: “</w:t>
      </w:r>
      <w:r w:rsidRPr="00F961AC">
        <w:rPr>
          <w:i/>
          <w:iCs/>
        </w:rPr>
        <w:t>Netice olarak karşılaşılan temel bazı sorunlar ve iyileştirici nitelikteki bazı tespitler şunlardır: i) E-Fatura uygulaması ile ilgili ana tebliğde yıllar içerisinde yapılan köklü değişikliklere uyum sağlamada mükellefler güçlükler yaşamaktadır. ii) Bazı mükellef grupları için e-Fatura mükellefiyetine esas alınan eşiklerin açıklığa kavuşturulması gerekmektedir. iii) E-Fatura düzenlerken, kağıt fatura için geçerli kanuni sürelerin aynen geçerli olduğu konusunda mükellefler bilgilendirilmelidir.iv) Nev’i değişikliği hallerinde ana Tebliğde belirtilenin aksine, nev’i değişikliğinden önceki ve sonraki brüt satışların toplamı esas alınmalıdır. v) E-Fatura uygulaması ile ilgili sürekli eğitim seminerleri düzenlenmesi, hazırlanan taslak metinlerin öncesinde paydaşlarla müzakere edilmesi gönüllü uyumu teşvik edecektir. vi) E-Fatura uygulamasına geçiş için idare tarafından bir Rehber hazırlanması, ilk kullanım aşamasında büyük fayda sağlayacaktır. viii) E-Fatura alt yapısı için mükelleflere bir teşvik ve hibe desteği sağlanması bu projenin başarısına ve sürekliliğine katkı sağlayacaktır. viii) E-Fatura düzenlenmemesi halinde özel usulsüzlük cezası kesilecektir. VUK’un 353’üncü maddesinde 7103 sayılı Kanunun 12’inci maddesi ile yapılan değişiklik ile birlikte bu konudaki</w:t>
      </w:r>
      <w:r w:rsidR="00F961AC" w:rsidRPr="00F961AC">
        <w:rPr>
          <w:i/>
          <w:iCs/>
        </w:rPr>
        <w:t xml:space="preserve"> </w:t>
      </w:r>
      <w:r w:rsidRPr="00F961AC">
        <w:rPr>
          <w:i/>
          <w:iCs/>
        </w:rPr>
        <w:t>tereddütler de 2018 yılı itibariyle ortadan kalkmıştır.</w:t>
      </w:r>
      <w:r w:rsidR="00F961AC">
        <w:t>”</w:t>
      </w:r>
    </w:p>
    <w:p w14:paraId="34F2E778" w14:textId="1A5E593C" w:rsidR="00F961AC" w:rsidRDefault="00BE30F3" w:rsidP="009E3E3F">
      <w:r>
        <w:t>Está claro que el uso de documentos electrónicos tendrá muchos beneficios de distinto orden, entre ellos, económicos y procedimentales. Sin embargo, las obligaciones tributarias consistentes en la transmisión electrónica de información a la respectiva entidad no implicarán una verdadera transformación empresarial. Es ya tan grande la información transmitida que la intimidad de las empresas está verdaderamente expuesta, sin que se sepa que protecciones se tienen, que siniestros han ocurrido y como se han enfrentado.</w:t>
      </w:r>
      <w:r w:rsidR="00091A59">
        <w:t xml:space="preserve"> De otra parte, estas cargas están recayendo sobre el sector formal de la economía, encareciendo aún más su operación, pero sin implicar un efecto importante sobre el sector informal. El concepto de factura está deteriorado. De una constancia sobre una operación realizada, hemos pasado a asignarle otras tareas, como cuenta de cobro, título negociable, documento pensado para generar liquidez. Consecuentemente las normas legales sobre ella han aumentado</w:t>
      </w:r>
      <w:r w:rsidR="00452DF0">
        <w:t>, creciendo los problemas de interpretación. Es absurdo que una constancia sea algo tan complejo. Ahora bien: a pesar de la extensión normativa existen varios vacíos que están siendo utilizados por los que no quieren pagar. Ahora se depende de las contrapartes para poder facturar.</w:t>
      </w:r>
    </w:p>
    <w:p w14:paraId="309203A7" w14:textId="20873263" w:rsidR="00452DF0" w:rsidRDefault="00452DF0" w:rsidP="009E3E3F">
      <w:r>
        <w:t>La contaduría debe desprenderse del papel, cosa que no ha ocurrido con la profundidad que se requiere. Todo por no haber sido capaz de aplicar los principios a los documentos electrónicos.</w:t>
      </w:r>
    </w:p>
    <w:p w14:paraId="7DA4D082" w14:textId="5E45C05B" w:rsidR="00452DF0" w:rsidRPr="007C16D7" w:rsidRDefault="00452DF0" w:rsidP="00452DF0">
      <w:pPr>
        <w:jc w:val="right"/>
      </w:pPr>
      <w:r w:rsidRPr="003C4ED4">
        <w:rPr>
          <w:i/>
          <w:iCs/>
        </w:rPr>
        <w:t>Hernando Bermúdez Gómez</w:t>
      </w:r>
    </w:p>
    <w:sectPr w:rsidR="00452DF0" w:rsidRPr="007C16D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DEB7" w14:textId="77777777" w:rsidR="00147292" w:rsidRDefault="00147292" w:rsidP="00EE7812">
      <w:pPr>
        <w:spacing w:after="0" w:line="240" w:lineRule="auto"/>
      </w:pPr>
      <w:r>
        <w:separator/>
      </w:r>
    </w:p>
  </w:endnote>
  <w:endnote w:type="continuationSeparator" w:id="0">
    <w:p w14:paraId="0998F681" w14:textId="77777777" w:rsidR="00147292" w:rsidRDefault="001472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F98B" w14:textId="77777777" w:rsidR="00147292" w:rsidRDefault="00147292" w:rsidP="00EE7812">
      <w:pPr>
        <w:spacing w:after="0" w:line="240" w:lineRule="auto"/>
      </w:pPr>
      <w:r>
        <w:separator/>
      </w:r>
    </w:p>
  </w:footnote>
  <w:footnote w:type="continuationSeparator" w:id="0">
    <w:p w14:paraId="0944EA5E" w14:textId="77777777" w:rsidR="00147292" w:rsidRDefault="001472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0336F2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575955">
      <w:t>5</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4729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292"/>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CE0"/>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9067\muvu.8339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2022-03-20T23:51:00Z</dcterms:created>
  <dcterms:modified xsi:type="dcterms:W3CDTF">2022-03-20T23:51:00Z</dcterms:modified>
</cp:coreProperties>
</file>