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46F74" w14:textId="0F72F129" w:rsidR="00E75B3C" w:rsidRPr="00E75B3C" w:rsidRDefault="00E75B3C" w:rsidP="00E75B3C">
      <w:pPr>
        <w:keepNext/>
        <w:framePr w:dropCap="drop" w:lines="3" w:wrap="around" w:vAnchor="text" w:hAnchor="text"/>
        <w:spacing w:after="0" w:line="926" w:lineRule="exact"/>
        <w:textAlignment w:val="baseline"/>
        <w:rPr>
          <w:position w:val="-9"/>
          <w:sz w:val="123"/>
        </w:rPr>
      </w:pPr>
      <w:r w:rsidRPr="00E75B3C">
        <w:rPr>
          <w:position w:val="-9"/>
          <w:sz w:val="123"/>
        </w:rPr>
        <w:t>E</w:t>
      </w:r>
    </w:p>
    <w:p w14:paraId="21507FE6" w14:textId="6EE0BE38" w:rsidR="00762843" w:rsidRDefault="00E75B3C" w:rsidP="009B44F9">
      <w:r w:rsidRPr="00E75B3C">
        <w:t xml:space="preserve">l borrador de la </w:t>
      </w:r>
      <w:r w:rsidRPr="00E75B3C">
        <w:rPr>
          <w:i/>
          <w:iCs/>
        </w:rPr>
        <w:t>“[Proyecto] NIIF S1 Requerimientos Generales para la Información a Revelar sobre Sostenibilidad relacionada con la Información Financiera</w:t>
      </w:r>
      <w:r w:rsidRPr="00E75B3C">
        <w:t>”</w:t>
      </w:r>
      <w:r w:rsidR="009865F4">
        <w:t xml:space="preserve"> </w:t>
      </w:r>
      <w:r w:rsidR="009B44F9">
        <w:t>propone: “</w:t>
      </w:r>
      <w:r w:rsidR="009B44F9" w:rsidRPr="00BE49FF">
        <w:rPr>
          <w:i/>
        </w:rPr>
        <w:t>los requerimientos propuestos para la información comparativa, las fuentes de incertidumbre en las estimaciones y los resultados, y los errores. Estas propuestas se basan en los conceptos correspondientes para los estados financieros contenidos en la NIC 1 y la NIC 8. Sin embargo, en lugar de requerir</w:t>
      </w:r>
      <w:r w:rsidR="00BE49FF" w:rsidRPr="00BE49FF">
        <w:rPr>
          <w:i/>
        </w:rPr>
        <w:t xml:space="preserve"> </w:t>
      </w:r>
      <w:r w:rsidR="009B44F9" w:rsidRPr="00BE49FF">
        <w:rPr>
          <w:i/>
        </w:rPr>
        <w:t xml:space="preserve">que se informe de un cambio de estimación como parte de la información a revelar del periodo actual, el Proyecto de Norma propone que se revele la información comparativa que refleje las estimaciones actualizadas, excepto cuando esto sea impracticable—es decir, que los datos comparativos se </w:t>
      </w:r>
      <w:proofErr w:type="spellStart"/>
      <w:r w:rsidR="009B44F9" w:rsidRPr="00BE49FF">
        <w:rPr>
          <w:i/>
        </w:rPr>
        <w:t>reexpresarían</w:t>
      </w:r>
      <w:proofErr w:type="spellEnd"/>
      <w:r w:rsidR="009B44F9" w:rsidRPr="00BE49FF">
        <w:rPr>
          <w:i/>
        </w:rPr>
        <w:t xml:space="preserve"> para reflejar la mejor estimación.</w:t>
      </w:r>
      <w:r w:rsidR="00BE49FF" w:rsidRPr="00BE49FF">
        <w:rPr>
          <w:i/>
        </w:rPr>
        <w:t xml:space="preserve"> ―</w:t>
      </w:r>
      <w:r w:rsidR="009B44F9" w:rsidRPr="00BE49FF">
        <w:rPr>
          <w:i/>
        </w:rPr>
        <w:t>El Proyecto de Norma incluye también la propuesta de requerir que los datos financieros y los supuestos dentro de la información a revelar sobre sostenibilidad relacionada con la información financiera sean congruentes con los correspondientes datos financieros y supuestos utilizados en los estados financieros de la entidad, en la medida de lo posible.</w:t>
      </w:r>
      <w:r w:rsidR="00BE49FF">
        <w:t>”</w:t>
      </w:r>
      <w:r w:rsidR="006029C6">
        <w:t xml:space="preserve"> Como se ve, las NIIF se proyectan sobre las revelaciones en materia de sostenibilidad. Conviene dar el mismo trato a las cosas que son iguales y tratar distinto las que son diferentes.</w:t>
      </w:r>
      <w:r w:rsidR="005947ED">
        <w:t xml:space="preserve"> En materia de comparación seguirá siendo esencial la determinación de la fecha de corte de la información. En materia de la naturaleza de la información se reitera que esta no es exacta, sino que está basada en supuestos, algunos relacionados con incertidumbres, los cuales tienen efecto directo en los </w:t>
      </w:r>
      <w:r w:rsidR="005947ED">
        <w:t>resultados. Es natural que se incurra en errores al preparar la información. Ellos no deben ser el resultado de intenciones ni de descuidos o negligencias. Sin embargo, aun poniendo cuidado, es muy probable que se produzcan. Los errores hay que corregirlos, según el momento en el cual se conozcan. Si resultan de gran importancia pueden provocar re emisiones. Un peligro que se intuye con la adición de la información sobre la sostenibilidad es que la situación de una empresa se opaque.</w:t>
      </w:r>
      <w:r w:rsidR="00191DA6">
        <w:t xml:space="preserve"> Hay una tensión entre la transparencia y la opacidad. Esta tiene bastante que ver con el ocultamiento de los beneficiarios reales de las personas jurídicas. Es verdad que la </w:t>
      </w:r>
      <w:hyperlink r:id="rId8" w:history="1">
        <w:r w:rsidR="00191DA6" w:rsidRPr="00191DA6">
          <w:rPr>
            <w:rStyle w:val="Hyperlink"/>
          </w:rPr>
          <w:t>Ley 2195 del 18 de enero de 2022</w:t>
        </w:r>
      </w:hyperlink>
      <w:r w:rsidR="00191DA6">
        <w:t xml:space="preserve"> establece que “</w:t>
      </w:r>
      <w:r w:rsidR="00191DA6" w:rsidRPr="00191DA6">
        <w:rPr>
          <w:i/>
        </w:rPr>
        <w:t>La Entidad del Estado y la persona natural, persona jurídica o estructura sin personería jurídica o similar, que tenga la obligación de implementar un sistema de prevención, gestión o administración del riesgo de lavado de activos, financiación del terrorismo y proliferación de armas o que tengan la obligación de entregar información al Registro Único de Beneficiarios Finales (RUB), debe llevar a cabo medidas de debida diligencia que permitan entre otras finalidades identificar el/los beneficiario(s) final(es)</w:t>
      </w:r>
      <w:r w:rsidR="00191DA6">
        <w:t>”. Sin embargo, no existe la seguridad de que dichos beneficiarios serán identificados. Hay muchas formas de desviar la atención cuando se prepara un bloque informativo tan enjundioso como el que se tendrá al entrar en vigencia el proyecto que estamos comentando. Hay que recordar que una cosa es lo que se dice y otra lo que se oye.</w:t>
      </w:r>
    </w:p>
    <w:p w14:paraId="6AA29196" w14:textId="4B31952B" w:rsidR="006C7D77" w:rsidRPr="003E2D17" w:rsidRDefault="00F4254E" w:rsidP="006C7D77">
      <w:pPr>
        <w:jc w:val="right"/>
      </w:pPr>
      <w:r w:rsidRPr="003C4ED4">
        <w:rPr>
          <w:i/>
          <w:iCs/>
        </w:rPr>
        <w:t>Hernando Bermúdez Gómez</w:t>
      </w:r>
    </w:p>
    <w:sectPr w:rsidR="006C7D77" w:rsidRPr="003E2D17"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D30031" w14:textId="77777777" w:rsidR="0030726D" w:rsidRDefault="0030726D" w:rsidP="00EE7812">
      <w:pPr>
        <w:spacing w:after="0" w:line="240" w:lineRule="auto"/>
      </w:pPr>
      <w:r>
        <w:separator/>
      </w:r>
    </w:p>
  </w:endnote>
  <w:endnote w:type="continuationSeparator" w:id="0">
    <w:p w14:paraId="205AF307" w14:textId="77777777" w:rsidR="0030726D" w:rsidRDefault="0030726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66515" w14:textId="77777777" w:rsidR="0030726D" w:rsidRDefault="0030726D" w:rsidP="00EE7812">
      <w:pPr>
        <w:spacing w:after="0" w:line="240" w:lineRule="auto"/>
      </w:pPr>
      <w:r>
        <w:separator/>
      </w:r>
    </w:p>
  </w:footnote>
  <w:footnote w:type="continuationSeparator" w:id="0">
    <w:p w14:paraId="16BE831B" w14:textId="77777777" w:rsidR="0030726D" w:rsidRDefault="0030726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0AB17575"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E3CA6">
      <w:t>61</w:t>
    </w:r>
    <w:r w:rsidR="00637AF3">
      <w:t>4</w:t>
    </w:r>
    <w:r>
      <w:t>,</w:t>
    </w:r>
    <w:r w:rsidR="00AD1603">
      <w:t xml:space="preserve"> </w:t>
    </w:r>
    <w:r w:rsidR="00766525">
      <w:t>23</w:t>
    </w:r>
    <w:r w:rsidR="00A83BB9">
      <w:t xml:space="preserve"> de mayo</w:t>
    </w:r>
    <w:r w:rsidR="00AD1603">
      <w:t xml:space="preserve"> </w:t>
    </w:r>
    <w:r>
      <w:t>de</w:t>
    </w:r>
    <w:r w:rsidR="00AD1603">
      <w:t xml:space="preserve"> </w:t>
    </w:r>
    <w:r>
      <w:t>202</w:t>
    </w:r>
    <w:r w:rsidR="00792932">
      <w:t>2</w:t>
    </w:r>
  </w:p>
  <w:p w14:paraId="29566F03" w14:textId="486D5996" w:rsidR="0000261B" w:rsidRDefault="0030726D"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12064092">
    <w:abstractNumId w:val="0"/>
  </w:num>
  <w:num w:numId="2" w16cid:durableId="2019886615">
    <w:abstractNumId w:val="20"/>
  </w:num>
  <w:num w:numId="3" w16cid:durableId="2089308664">
    <w:abstractNumId w:val="15"/>
  </w:num>
  <w:num w:numId="4" w16cid:durableId="358774891">
    <w:abstractNumId w:val="2"/>
  </w:num>
  <w:num w:numId="5" w16cid:durableId="995576113">
    <w:abstractNumId w:val="19"/>
  </w:num>
  <w:num w:numId="6" w16cid:durableId="1638798844">
    <w:abstractNumId w:val="34"/>
  </w:num>
  <w:num w:numId="7" w16cid:durableId="1920628607">
    <w:abstractNumId w:val="13"/>
  </w:num>
  <w:num w:numId="8" w16cid:durableId="1349872044">
    <w:abstractNumId w:val="32"/>
  </w:num>
  <w:num w:numId="9" w16cid:durableId="1114324620">
    <w:abstractNumId w:val="37"/>
  </w:num>
  <w:num w:numId="10" w16cid:durableId="1402870468">
    <w:abstractNumId w:val="4"/>
  </w:num>
  <w:num w:numId="11" w16cid:durableId="1348095963">
    <w:abstractNumId w:val="6"/>
  </w:num>
  <w:num w:numId="12" w16cid:durableId="456683420">
    <w:abstractNumId w:val="18"/>
  </w:num>
  <w:num w:numId="13" w16cid:durableId="587350292">
    <w:abstractNumId w:val="21"/>
  </w:num>
  <w:num w:numId="14" w16cid:durableId="324555136">
    <w:abstractNumId w:val="31"/>
  </w:num>
  <w:num w:numId="15" w16cid:durableId="388497883">
    <w:abstractNumId w:val="9"/>
  </w:num>
  <w:num w:numId="16" w16cid:durableId="465972947">
    <w:abstractNumId w:val="7"/>
  </w:num>
  <w:num w:numId="17" w16cid:durableId="2028023558">
    <w:abstractNumId w:val="16"/>
  </w:num>
  <w:num w:numId="18" w16cid:durableId="1720014551">
    <w:abstractNumId w:val="30"/>
  </w:num>
  <w:num w:numId="19" w16cid:durableId="1971203473">
    <w:abstractNumId w:val="25"/>
  </w:num>
  <w:num w:numId="20" w16cid:durableId="1518228271">
    <w:abstractNumId w:val="8"/>
  </w:num>
  <w:num w:numId="21" w16cid:durableId="1898124480">
    <w:abstractNumId w:val="26"/>
  </w:num>
  <w:num w:numId="22" w16cid:durableId="688213104">
    <w:abstractNumId w:val="27"/>
  </w:num>
  <w:num w:numId="23" w16cid:durableId="223377224">
    <w:abstractNumId w:val="28"/>
  </w:num>
  <w:num w:numId="24" w16cid:durableId="2118401340">
    <w:abstractNumId w:val="33"/>
  </w:num>
  <w:num w:numId="25" w16cid:durableId="2101832988">
    <w:abstractNumId w:val="22"/>
  </w:num>
  <w:num w:numId="26" w16cid:durableId="266038370">
    <w:abstractNumId w:val="14"/>
  </w:num>
  <w:num w:numId="27" w16cid:durableId="945506859">
    <w:abstractNumId w:val="5"/>
  </w:num>
  <w:num w:numId="28" w16cid:durableId="851798861">
    <w:abstractNumId w:val="23"/>
  </w:num>
  <w:num w:numId="29" w16cid:durableId="1416242756">
    <w:abstractNumId w:val="1"/>
  </w:num>
  <w:num w:numId="30" w16cid:durableId="1853569648">
    <w:abstractNumId w:val="24"/>
  </w:num>
  <w:num w:numId="31" w16cid:durableId="1770084952">
    <w:abstractNumId w:val="29"/>
  </w:num>
  <w:num w:numId="32" w16cid:durableId="2137749218">
    <w:abstractNumId w:val="12"/>
  </w:num>
  <w:num w:numId="33" w16cid:durableId="1462770033">
    <w:abstractNumId w:val="17"/>
  </w:num>
  <w:num w:numId="34" w16cid:durableId="752508478">
    <w:abstractNumId w:val="3"/>
  </w:num>
  <w:num w:numId="35" w16cid:durableId="1674602771">
    <w:abstractNumId w:val="35"/>
  </w:num>
  <w:num w:numId="36" w16cid:durableId="1226407908">
    <w:abstractNumId w:val="10"/>
  </w:num>
  <w:num w:numId="37" w16cid:durableId="1671366293">
    <w:abstractNumId w:val="11"/>
  </w:num>
  <w:num w:numId="38" w16cid:durableId="1096438136">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C26"/>
    <w:rsid w:val="00026C52"/>
    <w:rsid w:val="00026D49"/>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5FF"/>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40"/>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67"/>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B73"/>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6D"/>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D75"/>
    <w:rsid w:val="003A4DB3"/>
    <w:rsid w:val="003A4E07"/>
    <w:rsid w:val="003A4F95"/>
    <w:rsid w:val="003A4F99"/>
    <w:rsid w:val="003A50D0"/>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43"/>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5A"/>
    <w:rsid w:val="004D296C"/>
    <w:rsid w:val="004D29E2"/>
    <w:rsid w:val="004D2A47"/>
    <w:rsid w:val="004D2A50"/>
    <w:rsid w:val="004D2B4B"/>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378"/>
    <w:rsid w:val="0054144C"/>
    <w:rsid w:val="00541498"/>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C8"/>
    <w:rsid w:val="00636D32"/>
    <w:rsid w:val="00636D49"/>
    <w:rsid w:val="00636DA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E3"/>
    <w:rsid w:val="0065594F"/>
    <w:rsid w:val="006559A2"/>
    <w:rsid w:val="006559A4"/>
    <w:rsid w:val="006559C4"/>
    <w:rsid w:val="006559D2"/>
    <w:rsid w:val="00655ABD"/>
    <w:rsid w:val="00655B10"/>
    <w:rsid w:val="00655CE1"/>
    <w:rsid w:val="00655D11"/>
    <w:rsid w:val="00655D30"/>
    <w:rsid w:val="00655D5A"/>
    <w:rsid w:val="00655D7D"/>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0"/>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B69"/>
    <w:rsid w:val="00747CEB"/>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3B1"/>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734"/>
    <w:rsid w:val="008159F9"/>
    <w:rsid w:val="00815A3B"/>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86"/>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28"/>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60"/>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3B"/>
    <w:rsid w:val="009F148A"/>
    <w:rsid w:val="009F151B"/>
    <w:rsid w:val="009F16A7"/>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B5"/>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07F"/>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9E"/>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0B"/>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66"/>
    <w:rsid w:val="00DB7C1A"/>
    <w:rsid w:val="00DB7C58"/>
    <w:rsid w:val="00DB7D56"/>
    <w:rsid w:val="00DB7DA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A8"/>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E2B"/>
    <w:rsid w:val="00E35EB1"/>
    <w:rsid w:val="00E35ED2"/>
    <w:rsid w:val="00E36056"/>
    <w:rsid w:val="00E36113"/>
    <w:rsid w:val="00E36120"/>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31"/>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B65"/>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ruta=Leyes/3004377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478A56-0CFF-421B-BB14-356E57A71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511</Words>
  <Characters>2816</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3321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2022-05-21T21:10:00Z</dcterms:created>
  <dcterms:modified xsi:type="dcterms:W3CDTF">2022-05-21T21:10:00Z</dcterms:modified>
</cp:coreProperties>
</file>