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A7FD" w14:textId="4616F237" w:rsidR="00FB07C2" w:rsidRPr="00FB07C2" w:rsidRDefault="00FB07C2" w:rsidP="00FB07C2">
      <w:pPr>
        <w:keepNext/>
        <w:framePr w:dropCap="drop" w:lines="3" w:wrap="around" w:vAnchor="text" w:hAnchor="text"/>
        <w:spacing w:after="0" w:line="926" w:lineRule="exact"/>
        <w:textAlignment w:val="baseline"/>
        <w:rPr>
          <w:position w:val="-9"/>
          <w:sz w:val="123"/>
        </w:rPr>
      </w:pPr>
      <w:r w:rsidRPr="00FB07C2">
        <w:rPr>
          <w:position w:val="-9"/>
          <w:sz w:val="123"/>
        </w:rPr>
        <w:t>E</w:t>
      </w:r>
    </w:p>
    <w:p w14:paraId="713F0C6A" w14:textId="7F40756E" w:rsidR="00336A53" w:rsidRDefault="005F1A08" w:rsidP="00FB07C2">
      <w:r>
        <w:t xml:space="preserve">l 27 de mayo de 2022 el Banco Mundial difundió su </w:t>
      </w:r>
      <w:proofErr w:type="spellStart"/>
      <w:r w:rsidR="00FB07C2" w:rsidRPr="00FB07C2">
        <w:t>Report</w:t>
      </w:r>
      <w:proofErr w:type="spellEnd"/>
      <w:r w:rsidR="00FB07C2" w:rsidRPr="00FB07C2">
        <w:t xml:space="preserve"> No: AUS0002870</w:t>
      </w:r>
      <w:r w:rsidR="00FB07C2">
        <w:t xml:space="preserve"> fechado </w:t>
      </w:r>
      <w:r w:rsidR="00FB07C2" w:rsidRPr="00FB07C2">
        <w:t>Noviembre 30</w:t>
      </w:r>
      <w:r w:rsidR="00FB07C2">
        <w:t xml:space="preserve"> de</w:t>
      </w:r>
      <w:r w:rsidR="00FB07C2" w:rsidRPr="00FB07C2">
        <w:t xml:space="preserve"> 2021</w:t>
      </w:r>
      <w:r w:rsidR="00FB07C2">
        <w:t>, el cual consigna “</w:t>
      </w:r>
      <w:r w:rsidR="00FB07C2" w:rsidRPr="00FB07C2">
        <w:rPr>
          <w:i/>
          <w:iCs/>
        </w:rPr>
        <w:t>Este Informe sobre la Observancia de Normas y Códigos de Contabilidad y Auditoría (ROSC A&amp;A) fue elaborado a solicitud del Gobierno de Colombia. Actualiza los progresos realizados desde el anterior informe ROSC de 2003 y llega en un momento oportuno, dada la estrategia del Gobierno de Colombia para mejorar la competitividad del sector privado y apoyar a las empresas más pequeñas, que son fundamentales para lograr el crecimiento sostenible y el empleo</w:t>
      </w:r>
      <w:r w:rsidR="00FB07C2">
        <w:t>.”</w:t>
      </w:r>
    </w:p>
    <w:p w14:paraId="66E5F5AB" w14:textId="22549123" w:rsidR="00FB07C2" w:rsidRDefault="00FB07C2" w:rsidP="0040336C">
      <w:r>
        <w:t>Entre las muchas cosas que merecen comentario hemos escogido para empezar las de más baja calificación</w:t>
      </w:r>
      <w:r w:rsidR="0040336C">
        <w:t>. Al respecto se explica: “</w:t>
      </w:r>
      <w:r w:rsidR="0040336C" w:rsidRPr="0040336C">
        <w:rPr>
          <w:i/>
          <w:iCs/>
        </w:rPr>
        <w:t>Notas: 1 = Puntuación mínima; no se cumplen los criterios para la calificación "2"; 2 = Se han dado los primeros pasos hacia la alineación con las buenas prácticas internacionales; sin embargo, existen brechas importantes; 3 = Cierta alineación con las buenas prácticas internacionales; sin embargo, siguen existiendo brechas; 4 = Alineación sustancial con las buenas prácticas internacionales</w:t>
      </w:r>
      <w:r w:rsidR="0040336C">
        <w:t>.” Pues bien</w:t>
      </w:r>
      <w:r w:rsidR="00636CA1">
        <w:t>:</w:t>
      </w:r>
    </w:p>
    <w:tbl>
      <w:tblPr>
        <w:tblW w:w="5000" w:type="pct"/>
        <w:tblCellMar>
          <w:left w:w="0" w:type="dxa"/>
          <w:right w:w="0" w:type="dxa"/>
        </w:tblCellMar>
        <w:tblLook w:val="0000" w:firstRow="0" w:lastRow="0" w:firstColumn="0" w:lastColumn="0" w:noHBand="0" w:noVBand="0"/>
      </w:tblPr>
      <w:tblGrid>
        <w:gridCol w:w="1637"/>
        <w:gridCol w:w="1226"/>
        <w:gridCol w:w="1202"/>
      </w:tblGrid>
      <w:tr w:rsidR="00636CA1" w:rsidRPr="00636CA1" w14:paraId="5EEB87FA" w14:textId="77777777" w:rsidTr="00636CA1">
        <w:trPr>
          <w:trHeight w:val="434"/>
        </w:trPr>
        <w:tc>
          <w:tcPr>
            <w:tcW w:w="2014" w:type="pct"/>
            <w:tcBorders>
              <w:top w:val="none" w:sz="6" w:space="0" w:color="auto"/>
              <w:left w:val="none" w:sz="6" w:space="0" w:color="auto"/>
              <w:bottom w:val="single" w:sz="18" w:space="0" w:color="8E2684"/>
              <w:right w:val="none" w:sz="6" w:space="0" w:color="auto"/>
            </w:tcBorders>
          </w:tcPr>
          <w:p w14:paraId="3106CB8E" w14:textId="77777777" w:rsidR="00636CA1" w:rsidRPr="00636CA1" w:rsidRDefault="00636CA1" w:rsidP="00636CA1">
            <w:pPr>
              <w:kinsoku w:val="0"/>
              <w:overflowPunct w:val="0"/>
              <w:autoSpaceDE w:val="0"/>
              <w:autoSpaceDN w:val="0"/>
              <w:adjustRightInd w:val="0"/>
              <w:spacing w:before="117" w:after="0" w:line="240" w:lineRule="auto"/>
              <w:ind w:left="170"/>
              <w:rPr>
                <w:rFonts w:ascii="Arial" w:hAnsi="Arial" w:cs="Arial"/>
                <w:b/>
                <w:bCs/>
                <w:color w:val="231F20"/>
                <w:w w:val="105"/>
                <w:sz w:val="18"/>
                <w:szCs w:val="18"/>
                <w:lang w:eastAsia="es-CO"/>
              </w:rPr>
            </w:pPr>
            <w:bookmarkStart w:id="0" w:name="Tabla_2._Resumen_de_las_recomendaciones"/>
            <w:bookmarkStart w:id="1" w:name="_bookmark0"/>
            <w:bookmarkEnd w:id="0"/>
            <w:bookmarkEnd w:id="1"/>
            <w:r w:rsidRPr="00636CA1">
              <w:rPr>
                <w:rFonts w:ascii="Arial" w:hAnsi="Arial" w:cs="Arial"/>
                <w:b/>
                <w:bCs/>
                <w:color w:val="231F20"/>
                <w:w w:val="105"/>
                <w:sz w:val="18"/>
                <w:szCs w:val="18"/>
                <w:lang w:eastAsia="es-CO"/>
              </w:rPr>
              <w:t>7. Supervisión pública de la auditoría</w:t>
            </w:r>
          </w:p>
        </w:tc>
        <w:tc>
          <w:tcPr>
            <w:tcW w:w="1508" w:type="pct"/>
            <w:tcBorders>
              <w:top w:val="none" w:sz="6" w:space="0" w:color="auto"/>
              <w:left w:val="none" w:sz="6" w:space="0" w:color="auto"/>
              <w:bottom w:val="single" w:sz="18" w:space="0" w:color="8E2684"/>
              <w:right w:val="none" w:sz="6" w:space="0" w:color="auto"/>
            </w:tcBorders>
            <w:shd w:val="clear" w:color="auto" w:fill="F1F4FA"/>
          </w:tcPr>
          <w:p w14:paraId="6CBBD27D" w14:textId="77777777" w:rsidR="00636CA1" w:rsidRPr="00636CA1" w:rsidRDefault="00636CA1" w:rsidP="00636CA1">
            <w:pPr>
              <w:kinsoku w:val="0"/>
              <w:overflowPunct w:val="0"/>
              <w:autoSpaceDE w:val="0"/>
              <w:autoSpaceDN w:val="0"/>
              <w:adjustRightInd w:val="0"/>
              <w:spacing w:before="117" w:after="0" w:line="240" w:lineRule="auto"/>
              <w:ind w:left="169"/>
              <w:rPr>
                <w:rFonts w:ascii="Arial" w:hAnsi="Arial" w:cs="Arial"/>
                <w:b/>
                <w:bCs/>
                <w:color w:val="231F20"/>
                <w:spacing w:val="-4"/>
                <w:sz w:val="18"/>
                <w:szCs w:val="18"/>
                <w:lang w:eastAsia="es-CO"/>
              </w:rPr>
            </w:pPr>
            <w:r w:rsidRPr="00636CA1">
              <w:rPr>
                <w:rFonts w:ascii="Arial" w:hAnsi="Arial" w:cs="Arial"/>
                <w:b/>
                <w:bCs/>
                <w:color w:val="231F20"/>
                <w:spacing w:val="-4"/>
                <w:sz w:val="18"/>
                <w:szCs w:val="18"/>
                <w:lang w:eastAsia="es-CO"/>
              </w:rPr>
              <w:t>1,8</w:t>
            </w:r>
          </w:p>
        </w:tc>
        <w:tc>
          <w:tcPr>
            <w:tcW w:w="1478" w:type="pct"/>
            <w:tcBorders>
              <w:top w:val="none" w:sz="6" w:space="0" w:color="auto"/>
              <w:left w:val="none" w:sz="6" w:space="0" w:color="auto"/>
              <w:bottom w:val="single" w:sz="18" w:space="0" w:color="8E2684"/>
              <w:right w:val="none" w:sz="6" w:space="0" w:color="auto"/>
            </w:tcBorders>
          </w:tcPr>
          <w:p w14:paraId="7C86EAD2" w14:textId="77777777" w:rsidR="00636CA1" w:rsidRPr="00636CA1" w:rsidRDefault="00636CA1" w:rsidP="00636CA1">
            <w:pPr>
              <w:kinsoku w:val="0"/>
              <w:overflowPunct w:val="0"/>
              <w:autoSpaceDE w:val="0"/>
              <w:autoSpaceDN w:val="0"/>
              <w:adjustRightInd w:val="0"/>
              <w:spacing w:before="117" w:after="0" w:line="240" w:lineRule="auto"/>
              <w:ind w:left="169"/>
              <w:rPr>
                <w:rFonts w:ascii="Arial" w:hAnsi="Arial" w:cs="Arial"/>
                <w:b/>
                <w:bCs/>
                <w:color w:val="231F20"/>
                <w:w w:val="102"/>
                <w:sz w:val="18"/>
                <w:szCs w:val="18"/>
                <w:lang w:eastAsia="es-CO"/>
              </w:rPr>
            </w:pPr>
            <w:r w:rsidRPr="00636CA1">
              <w:rPr>
                <w:rFonts w:ascii="Arial" w:hAnsi="Arial" w:cs="Arial"/>
                <w:b/>
                <w:bCs/>
                <w:color w:val="231F20"/>
                <w:w w:val="102"/>
                <w:sz w:val="18"/>
                <w:szCs w:val="18"/>
                <w:lang w:eastAsia="es-CO"/>
              </w:rPr>
              <w:t>4</w:t>
            </w:r>
          </w:p>
        </w:tc>
      </w:tr>
      <w:tr w:rsidR="00636CA1" w:rsidRPr="00636CA1" w14:paraId="67FFC02F" w14:textId="77777777" w:rsidTr="00636CA1">
        <w:trPr>
          <w:trHeight w:val="447"/>
        </w:trPr>
        <w:tc>
          <w:tcPr>
            <w:tcW w:w="2014" w:type="pct"/>
            <w:tcBorders>
              <w:top w:val="single" w:sz="18" w:space="0" w:color="8E2684"/>
              <w:left w:val="none" w:sz="6" w:space="0" w:color="auto"/>
              <w:bottom w:val="single" w:sz="6" w:space="0" w:color="8C8D90"/>
              <w:right w:val="none" w:sz="6" w:space="0" w:color="auto"/>
            </w:tcBorders>
          </w:tcPr>
          <w:p w14:paraId="0CCC6E3F" w14:textId="77777777" w:rsidR="00636CA1" w:rsidRPr="00636CA1" w:rsidRDefault="00636CA1" w:rsidP="00636CA1">
            <w:pPr>
              <w:kinsoku w:val="0"/>
              <w:overflowPunct w:val="0"/>
              <w:autoSpaceDE w:val="0"/>
              <w:autoSpaceDN w:val="0"/>
              <w:adjustRightInd w:val="0"/>
              <w:spacing w:before="116" w:after="0" w:line="240" w:lineRule="auto"/>
              <w:ind w:left="340"/>
              <w:rPr>
                <w:rFonts w:ascii="Arial" w:hAnsi="Arial" w:cs="Arial"/>
                <w:color w:val="231F20"/>
                <w:w w:val="105"/>
                <w:sz w:val="18"/>
                <w:szCs w:val="18"/>
                <w:lang w:eastAsia="es-CO"/>
              </w:rPr>
            </w:pPr>
            <w:r w:rsidRPr="00636CA1">
              <w:rPr>
                <w:rFonts w:ascii="Arial" w:hAnsi="Arial" w:cs="Arial"/>
                <w:color w:val="231F20"/>
                <w:w w:val="105"/>
                <w:sz w:val="18"/>
                <w:szCs w:val="18"/>
                <w:lang w:eastAsia="es-CO"/>
              </w:rPr>
              <w:t>7.A. Sistema de supervisión de auditorías</w:t>
            </w:r>
          </w:p>
        </w:tc>
        <w:tc>
          <w:tcPr>
            <w:tcW w:w="1508" w:type="pct"/>
            <w:tcBorders>
              <w:top w:val="single" w:sz="18" w:space="0" w:color="8E2684"/>
              <w:left w:val="none" w:sz="6" w:space="0" w:color="auto"/>
              <w:bottom w:val="single" w:sz="6" w:space="0" w:color="8C8D90"/>
              <w:right w:val="none" w:sz="6" w:space="0" w:color="auto"/>
            </w:tcBorders>
            <w:shd w:val="clear" w:color="auto" w:fill="F1F4FA"/>
          </w:tcPr>
          <w:p w14:paraId="19AE13FF" w14:textId="77777777" w:rsidR="00636CA1" w:rsidRPr="00636CA1" w:rsidRDefault="00636CA1" w:rsidP="00636CA1">
            <w:pPr>
              <w:kinsoku w:val="0"/>
              <w:overflowPunct w:val="0"/>
              <w:autoSpaceDE w:val="0"/>
              <w:autoSpaceDN w:val="0"/>
              <w:adjustRightInd w:val="0"/>
              <w:spacing w:before="116" w:after="0" w:line="240" w:lineRule="auto"/>
              <w:ind w:left="169"/>
              <w:rPr>
                <w:rFonts w:ascii="Arial" w:hAnsi="Arial" w:cs="Arial"/>
                <w:color w:val="231F20"/>
                <w:w w:val="102"/>
                <w:sz w:val="18"/>
                <w:szCs w:val="18"/>
                <w:lang w:eastAsia="es-CO"/>
              </w:rPr>
            </w:pPr>
            <w:r w:rsidRPr="00636CA1">
              <w:rPr>
                <w:rFonts w:ascii="Arial" w:hAnsi="Arial" w:cs="Arial"/>
                <w:color w:val="231F20"/>
                <w:w w:val="102"/>
                <w:sz w:val="18"/>
                <w:szCs w:val="18"/>
                <w:lang w:eastAsia="es-CO"/>
              </w:rPr>
              <w:t>2</w:t>
            </w:r>
          </w:p>
        </w:tc>
        <w:tc>
          <w:tcPr>
            <w:tcW w:w="1478" w:type="pct"/>
            <w:tcBorders>
              <w:top w:val="single" w:sz="18" w:space="0" w:color="8E2684"/>
              <w:left w:val="none" w:sz="6" w:space="0" w:color="auto"/>
              <w:bottom w:val="single" w:sz="6" w:space="0" w:color="8C8D90"/>
              <w:right w:val="none" w:sz="6" w:space="0" w:color="auto"/>
            </w:tcBorders>
          </w:tcPr>
          <w:p w14:paraId="4641DE73" w14:textId="77777777" w:rsidR="00636CA1" w:rsidRPr="00636CA1" w:rsidRDefault="00636CA1" w:rsidP="00636CA1">
            <w:pPr>
              <w:kinsoku w:val="0"/>
              <w:overflowPunct w:val="0"/>
              <w:autoSpaceDE w:val="0"/>
              <w:autoSpaceDN w:val="0"/>
              <w:adjustRightInd w:val="0"/>
              <w:spacing w:before="116" w:after="0" w:line="240" w:lineRule="auto"/>
              <w:ind w:left="169"/>
              <w:rPr>
                <w:rFonts w:ascii="Arial" w:hAnsi="Arial" w:cs="Arial"/>
                <w:color w:val="231F20"/>
                <w:w w:val="102"/>
                <w:sz w:val="18"/>
                <w:szCs w:val="18"/>
                <w:lang w:eastAsia="es-CO"/>
              </w:rPr>
            </w:pPr>
            <w:r w:rsidRPr="00636CA1">
              <w:rPr>
                <w:rFonts w:ascii="Arial" w:hAnsi="Arial" w:cs="Arial"/>
                <w:color w:val="231F20"/>
                <w:w w:val="102"/>
                <w:sz w:val="18"/>
                <w:szCs w:val="18"/>
                <w:lang w:eastAsia="es-CO"/>
              </w:rPr>
              <w:t>4</w:t>
            </w:r>
          </w:p>
        </w:tc>
      </w:tr>
      <w:tr w:rsidR="00636CA1" w:rsidRPr="00636CA1" w14:paraId="13AC5E34" w14:textId="77777777" w:rsidTr="00636CA1">
        <w:trPr>
          <w:trHeight w:val="462"/>
        </w:trPr>
        <w:tc>
          <w:tcPr>
            <w:tcW w:w="2014" w:type="pct"/>
            <w:tcBorders>
              <w:top w:val="single" w:sz="6" w:space="0" w:color="8C8D90"/>
              <w:left w:val="none" w:sz="6" w:space="0" w:color="auto"/>
              <w:bottom w:val="single" w:sz="6" w:space="0" w:color="8C8D90"/>
              <w:right w:val="none" w:sz="6" w:space="0" w:color="auto"/>
            </w:tcBorders>
          </w:tcPr>
          <w:p w14:paraId="597CC62E" w14:textId="77777777" w:rsidR="00636CA1" w:rsidRPr="00636CA1" w:rsidRDefault="00636CA1" w:rsidP="00636CA1">
            <w:pPr>
              <w:kinsoku w:val="0"/>
              <w:overflowPunct w:val="0"/>
              <w:autoSpaceDE w:val="0"/>
              <w:autoSpaceDN w:val="0"/>
              <w:adjustRightInd w:val="0"/>
              <w:spacing w:before="131" w:after="0" w:line="240" w:lineRule="auto"/>
              <w:ind w:left="340"/>
              <w:rPr>
                <w:rFonts w:ascii="Arial" w:hAnsi="Arial" w:cs="Arial"/>
                <w:color w:val="231F20"/>
                <w:w w:val="105"/>
                <w:sz w:val="18"/>
                <w:szCs w:val="18"/>
                <w:lang w:eastAsia="es-CO"/>
              </w:rPr>
            </w:pPr>
            <w:r w:rsidRPr="00636CA1">
              <w:rPr>
                <w:rFonts w:ascii="Arial" w:hAnsi="Arial" w:cs="Arial"/>
                <w:color w:val="231F20"/>
                <w:w w:val="105"/>
                <w:sz w:val="18"/>
                <w:szCs w:val="18"/>
                <w:lang w:eastAsia="es-CO"/>
              </w:rPr>
              <w:t>7.B. Aseguramiento de calidad de la auditoría</w:t>
            </w:r>
          </w:p>
        </w:tc>
        <w:tc>
          <w:tcPr>
            <w:tcW w:w="1508" w:type="pct"/>
            <w:tcBorders>
              <w:top w:val="single" w:sz="6" w:space="0" w:color="8C8D90"/>
              <w:left w:val="none" w:sz="6" w:space="0" w:color="auto"/>
              <w:bottom w:val="single" w:sz="6" w:space="0" w:color="8C8D90"/>
              <w:right w:val="none" w:sz="6" w:space="0" w:color="auto"/>
            </w:tcBorders>
            <w:shd w:val="clear" w:color="auto" w:fill="F1F4FA"/>
          </w:tcPr>
          <w:p w14:paraId="22CBBD43" w14:textId="77777777" w:rsidR="00636CA1" w:rsidRPr="00636CA1" w:rsidRDefault="00636CA1" w:rsidP="00636CA1">
            <w:pPr>
              <w:kinsoku w:val="0"/>
              <w:overflowPunct w:val="0"/>
              <w:autoSpaceDE w:val="0"/>
              <w:autoSpaceDN w:val="0"/>
              <w:adjustRightInd w:val="0"/>
              <w:spacing w:before="131" w:after="0" w:line="240" w:lineRule="auto"/>
              <w:ind w:left="169"/>
              <w:rPr>
                <w:rFonts w:ascii="Arial" w:hAnsi="Arial" w:cs="Arial"/>
                <w:color w:val="231F20"/>
                <w:spacing w:val="-4"/>
                <w:sz w:val="18"/>
                <w:szCs w:val="18"/>
                <w:lang w:eastAsia="es-CO"/>
              </w:rPr>
            </w:pPr>
            <w:r w:rsidRPr="00636CA1">
              <w:rPr>
                <w:rFonts w:ascii="Arial" w:hAnsi="Arial" w:cs="Arial"/>
                <w:color w:val="231F20"/>
                <w:spacing w:val="-4"/>
                <w:sz w:val="18"/>
                <w:szCs w:val="18"/>
                <w:lang w:eastAsia="es-CO"/>
              </w:rPr>
              <w:t>1,3</w:t>
            </w:r>
          </w:p>
        </w:tc>
        <w:tc>
          <w:tcPr>
            <w:tcW w:w="1478" w:type="pct"/>
            <w:tcBorders>
              <w:top w:val="single" w:sz="6" w:space="0" w:color="8C8D90"/>
              <w:left w:val="none" w:sz="6" w:space="0" w:color="auto"/>
              <w:bottom w:val="single" w:sz="6" w:space="0" w:color="8C8D90"/>
              <w:right w:val="none" w:sz="6" w:space="0" w:color="auto"/>
            </w:tcBorders>
          </w:tcPr>
          <w:p w14:paraId="7D28720D" w14:textId="77777777" w:rsidR="00636CA1" w:rsidRPr="00636CA1" w:rsidRDefault="00636CA1" w:rsidP="00636CA1">
            <w:pPr>
              <w:kinsoku w:val="0"/>
              <w:overflowPunct w:val="0"/>
              <w:autoSpaceDE w:val="0"/>
              <w:autoSpaceDN w:val="0"/>
              <w:adjustRightInd w:val="0"/>
              <w:spacing w:before="131" w:after="0" w:line="240" w:lineRule="auto"/>
              <w:ind w:left="169"/>
              <w:rPr>
                <w:rFonts w:ascii="Arial" w:hAnsi="Arial" w:cs="Arial"/>
                <w:color w:val="231F20"/>
                <w:w w:val="102"/>
                <w:sz w:val="18"/>
                <w:szCs w:val="18"/>
                <w:lang w:eastAsia="es-CO"/>
              </w:rPr>
            </w:pPr>
            <w:r w:rsidRPr="00636CA1">
              <w:rPr>
                <w:rFonts w:ascii="Arial" w:hAnsi="Arial" w:cs="Arial"/>
                <w:color w:val="231F20"/>
                <w:w w:val="102"/>
                <w:sz w:val="18"/>
                <w:szCs w:val="18"/>
                <w:lang w:eastAsia="es-CO"/>
              </w:rPr>
              <w:t>4</w:t>
            </w:r>
          </w:p>
        </w:tc>
      </w:tr>
      <w:tr w:rsidR="00636CA1" w:rsidRPr="00636CA1" w14:paraId="463DD475" w14:textId="77777777" w:rsidTr="00636CA1">
        <w:trPr>
          <w:trHeight w:val="462"/>
        </w:trPr>
        <w:tc>
          <w:tcPr>
            <w:tcW w:w="2014" w:type="pct"/>
            <w:tcBorders>
              <w:top w:val="single" w:sz="6" w:space="0" w:color="8C8D90"/>
              <w:left w:val="none" w:sz="6" w:space="0" w:color="auto"/>
              <w:bottom w:val="single" w:sz="6" w:space="0" w:color="8E2684"/>
              <w:right w:val="none" w:sz="6" w:space="0" w:color="auto"/>
            </w:tcBorders>
          </w:tcPr>
          <w:p w14:paraId="56A69F92" w14:textId="77777777" w:rsidR="00636CA1" w:rsidRPr="00636CA1" w:rsidRDefault="00636CA1" w:rsidP="00636CA1">
            <w:pPr>
              <w:kinsoku w:val="0"/>
              <w:overflowPunct w:val="0"/>
              <w:autoSpaceDE w:val="0"/>
              <w:autoSpaceDN w:val="0"/>
              <w:adjustRightInd w:val="0"/>
              <w:spacing w:before="131" w:after="0" w:line="240" w:lineRule="auto"/>
              <w:ind w:left="340"/>
              <w:rPr>
                <w:rFonts w:ascii="Arial" w:hAnsi="Arial" w:cs="Arial"/>
                <w:color w:val="231F20"/>
                <w:sz w:val="18"/>
                <w:szCs w:val="18"/>
                <w:lang w:eastAsia="es-CO"/>
              </w:rPr>
            </w:pPr>
            <w:r w:rsidRPr="00636CA1">
              <w:rPr>
                <w:rFonts w:ascii="Arial" w:hAnsi="Arial" w:cs="Arial"/>
                <w:color w:val="231F20"/>
                <w:sz w:val="18"/>
                <w:szCs w:val="18"/>
                <w:lang w:eastAsia="es-CO"/>
              </w:rPr>
              <w:t>7.C. Investigaciones y sanciones</w:t>
            </w:r>
          </w:p>
        </w:tc>
        <w:tc>
          <w:tcPr>
            <w:tcW w:w="1508" w:type="pct"/>
            <w:tcBorders>
              <w:top w:val="single" w:sz="6" w:space="0" w:color="8C8D90"/>
              <w:left w:val="none" w:sz="6" w:space="0" w:color="auto"/>
              <w:bottom w:val="single" w:sz="6" w:space="0" w:color="8E2684"/>
              <w:right w:val="none" w:sz="6" w:space="0" w:color="auto"/>
            </w:tcBorders>
            <w:shd w:val="clear" w:color="auto" w:fill="F1F4FA"/>
          </w:tcPr>
          <w:p w14:paraId="51448419" w14:textId="77777777" w:rsidR="00636CA1" w:rsidRPr="00636CA1" w:rsidRDefault="00636CA1" w:rsidP="00636CA1">
            <w:pPr>
              <w:kinsoku w:val="0"/>
              <w:overflowPunct w:val="0"/>
              <w:autoSpaceDE w:val="0"/>
              <w:autoSpaceDN w:val="0"/>
              <w:adjustRightInd w:val="0"/>
              <w:spacing w:before="131" w:after="0" w:line="240" w:lineRule="auto"/>
              <w:ind w:left="169"/>
              <w:rPr>
                <w:rFonts w:ascii="Arial" w:hAnsi="Arial" w:cs="Arial"/>
                <w:color w:val="231F20"/>
                <w:w w:val="102"/>
                <w:sz w:val="18"/>
                <w:szCs w:val="18"/>
                <w:lang w:eastAsia="es-CO"/>
              </w:rPr>
            </w:pPr>
            <w:r w:rsidRPr="00636CA1">
              <w:rPr>
                <w:rFonts w:ascii="Arial" w:hAnsi="Arial" w:cs="Arial"/>
                <w:color w:val="231F20"/>
                <w:w w:val="102"/>
                <w:sz w:val="18"/>
                <w:szCs w:val="18"/>
                <w:lang w:eastAsia="es-CO"/>
              </w:rPr>
              <w:t>2</w:t>
            </w:r>
          </w:p>
        </w:tc>
        <w:tc>
          <w:tcPr>
            <w:tcW w:w="1478" w:type="pct"/>
            <w:tcBorders>
              <w:top w:val="single" w:sz="6" w:space="0" w:color="8C8D90"/>
              <w:left w:val="none" w:sz="6" w:space="0" w:color="auto"/>
              <w:bottom w:val="single" w:sz="6" w:space="0" w:color="8E2684"/>
              <w:right w:val="none" w:sz="6" w:space="0" w:color="auto"/>
            </w:tcBorders>
          </w:tcPr>
          <w:p w14:paraId="4C8C87AD" w14:textId="77777777" w:rsidR="00636CA1" w:rsidRPr="00636CA1" w:rsidRDefault="00636CA1" w:rsidP="00636CA1">
            <w:pPr>
              <w:kinsoku w:val="0"/>
              <w:overflowPunct w:val="0"/>
              <w:autoSpaceDE w:val="0"/>
              <w:autoSpaceDN w:val="0"/>
              <w:adjustRightInd w:val="0"/>
              <w:spacing w:before="131" w:after="0" w:line="240" w:lineRule="auto"/>
              <w:ind w:left="169"/>
              <w:rPr>
                <w:rFonts w:ascii="Arial" w:hAnsi="Arial" w:cs="Arial"/>
                <w:color w:val="231F20"/>
                <w:w w:val="102"/>
                <w:sz w:val="18"/>
                <w:szCs w:val="18"/>
                <w:lang w:eastAsia="es-CO"/>
              </w:rPr>
            </w:pPr>
            <w:r w:rsidRPr="00636CA1">
              <w:rPr>
                <w:rFonts w:ascii="Arial" w:hAnsi="Arial" w:cs="Arial"/>
                <w:color w:val="231F20"/>
                <w:w w:val="102"/>
                <w:sz w:val="18"/>
                <w:szCs w:val="18"/>
                <w:lang w:eastAsia="es-CO"/>
              </w:rPr>
              <w:t>4</w:t>
            </w:r>
          </w:p>
        </w:tc>
      </w:tr>
    </w:tbl>
    <w:p w14:paraId="2150A75C" w14:textId="66D479F0" w:rsidR="00636CA1" w:rsidRDefault="00636CA1" w:rsidP="0040336C">
      <w:r>
        <w:t xml:space="preserve">El resultado corresponde a un secreto a voces que conviene matizar. Son varias las instituciones gubernamentales que pueden examinar el trabajo de los auditores y resolver si merecen o no un castigo. En los tiempos recientes se produjeron castigos </w:t>
      </w:r>
      <w:r w:rsidR="001A2CD7">
        <w:t xml:space="preserve">impuestos por varias superintendencias y por la Contraloría General de la República. Con todo, incluida la Junta Central de Contadores, el sistema de supervisión de las auditorías debería haber obtenido la nota de 1 porque lo hecho no se compadece de los estándares internacionales de contabilidad, información financiera y aseguramiento de información. De otra parte, no estamos contentos, como lo hemos expresado en el pasado, </w:t>
      </w:r>
      <w:r w:rsidR="00131C3B">
        <w:t xml:space="preserve">con </w:t>
      </w:r>
      <w:r w:rsidR="001A2CD7">
        <w:t xml:space="preserve">que el aseguramiento de la calidad, que viene siendo desarrollado por la Junta Central de Contadores, se esté </w:t>
      </w:r>
      <w:r w:rsidR="00131C3B">
        <w:t>llevando a cabo</w:t>
      </w:r>
      <w:r w:rsidR="001A2CD7">
        <w:t xml:space="preserve"> como un proyecto de inversión, cuando se trata de gastos propios de su función. Tampoco nos gusta que se haya excluido a las personas naturales y que en lugar de ampliar la cobertura se estén repitiendo visitas a firmas que se han encontrado en conformidad.</w:t>
      </w:r>
      <w:r w:rsidR="005C180E">
        <w:t xml:space="preserve"> En cuanto a las investigaciones y sanciones hemos denunciado la falta de competencia de quienes las realizan o aplican, la existencia de voluminosos expedientes, con documentos repetidos, con poquísimas pruebas, el desconocimiento del principio constitucional de buena fe, así como de la presunción, también constitucional, de inocencia, la reiterada aplicación de la suspensión cuando hay otras tres sanciones, </w:t>
      </w:r>
      <w:r w:rsidR="00131C3B">
        <w:t xml:space="preserve">y </w:t>
      </w:r>
      <w:r w:rsidR="005C180E">
        <w:t>la falta de explicación sobre los agravantes o atenuantes de responsabilidad.</w:t>
      </w:r>
    </w:p>
    <w:p w14:paraId="3F5E8D73" w14:textId="18850BF1" w:rsidR="005C180E" w:rsidRPr="005F1A08" w:rsidRDefault="005C180E" w:rsidP="005C180E">
      <w:pPr>
        <w:jc w:val="right"/>
      </w:pPr>
      <w:r w:rsidRPr="003C4ED4">
        <w:rPr>
          <w:i/>
          <w:iCs/>
        </w:rPr>
        <w:t>Hernando Bermúdez Gómez</w:t>
      </w:r>
    </w:p>
    <w:sectPr w:rsidR="005C180E" w:rsidRPr="005F1A0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76F3" w14:textId="77777777" w:rsidR="004E5B19" w:rsidRDefault="004E5B19" w:rsidP="00EE7812">
      <w:pPr>
        <w:spacing w:after="0" w:line="240" w:lineRule="auto"/>
      </w:pPr>
      <w:r>
        <w:separator/>
      </w:r>
    </w:p>
  </w:endnote>
  <w:endnote w:type="continuationSeparator" w:id="0">
    <w:p w14:paraId="39C33341" w14:textId="77777777" w:rsidR="004E5B19" w:rsidRDefault="004E5B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02F8" w14:textId="77777777" w:rsidR="004E5B19" w:rsidRDefault="004E5B19" w:rsidP="00EE7812">
      <w:pPr>
        <w:spacing w:after="0" w:line="240" w:lineRule="auto"/>
      </w:pPr>
      <w:r>
        <w:separator/>
      </w:r>
    </w:p>
  </w:footnote>
  <w:footnote w:type="continuationSeparator" w:id="0">
    <w:p w14:paraId="146C4001" w14:textId="77777777" w:rsidR="004E5B19" w:rsidRDefault="004E5B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651A59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w:t>
    </w:r>
    <w:r w:rsidR="005F1A08">
      <w:t>3</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4E5B1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B19"/>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D3A"/>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69"/>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2022-05-28T21:11:00Z</dcterms:created>
  <dcterms:modified xsi:type="dcterms:W3CDTF">2022-05-28T21:11:00Z</dcterms:modified>
</cp:coreProperties>
</file>