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FACC0" w14:textId="32DF85A5" w:rsidR="003D4A97" w:rsidRPr="003D4A97" w:rsidRDefault="003D4A97" w:rsidP="003D4A97">
      <w:pPr>
        <w:keepNext/>
        <w:framePr w:dropCap="drop" w:lines="3" w:wrap="around" w:vAnchor="text" w:hAnchor="text"/>
        <w:spacing w:after="0" w:line="926" w:lineRule="exact"/>
        <w:textAlignment w:val="baseline"/>
        <w:rPr>
          <w:position w:val="-9"/>
          <w:sz w:val="123"/>
        </w:rPr>
      </w:pPr>
      <w:r w:rsidRPr="003D4A97">
        <w:rPr>
          <w:position w:val="-9"/>
          <w:sz w:val="123"/>
        </w:rPr>
        <w:t>E</w:t>
      </w:r>
    </w:p>
    <w:p w14:paraId="64AD1BA3" w14:textId="2E80E38B" w:rsidR="001F0F2E" w:rsidRDefault="003D4A97" w:rsidP="003D4A97">
      <w:r w:rsidRPr="003D4A97">
        <w:t xml:space="preserve">n la </w:t>
      </w:r>
      <w:hyperlink r:id="rId8" w:history="1">
        <w:r w:rsidRPr="001F0F2E">
          <w:rPr>
            <w:rStyle w:val="Hyperlink"/>
          </w:rPr>
          <w:t xml:space="preserve">declaración de los G7 </w:t>
        </w:r>
        <w:proofErr w:type="spellStart"/>
        <w:r w:rsidRPr="001F0F2E">
          <w:rPr>
            <w:rStyle w:val="Hyperlink"/>
          </w:rPr>
          <w:t>Finance</w:t>
        </w:r>
        <w:proofErr w:type="spellEnd"/>
        <w:r w:rsidRPr="001F0F2E">
          <w:rPr>
            <w:rStyle w:val="Hyperlink"/>
          </w:rPr>
          <w:t xml:space="preserve"> </w:t>
        </w:r>
        <w:proofErr w:type="spellStart"/>
        <w:r w:rsidRPr="001F0F2E">
          <w:rPr>
            <w:rStyle w:val="Hyperlink"/>
          </w:rPr>
          <w:t>Ministers</w:t>
        </w:r>
        <w:proofErr w:type="spellEnd"/>
        <w:r w:rsidRPr="001F0F2E">
          <w:rPr>
            <w:rStyle w:val="Hyperlink"/>
          </w:rPr>
          <w:t xml:space="preserve"> and Central Bank </w:t>
        </w:r>
        <w:proofErr w:type="spellStart"/>
        <w:r w:rsidRPr="001F0F2E">
          <w:rPr>
            <w:rStyle w:val="Hyperlink"/>
          </w:rPr>
          <w:t>Governors</w:t>
        </w:r>
        <w:proofErr w:type="spellEnd"/>
        <w:r w:rsidRPr="001F0F2E">
          <w:rPr>
            <w:rStyle w:val="Hyperlink"/>
          </w:rPr>
          <w:t xml:space="preserve">´ acordada en </w:t>
        </w:r>
        <w:proofErr w:type="spellStart"/>
        <w:r w:rsidRPr="001F0F2E">
          <w:rPr>
            <w:rStyle w:val="Hyperlink"/>
          </w:rPr>
          <w:t>Petersberg</w:t>
        </w:r>
        <w:proofErr w:type="spellEnd"/>
        <w:r w:rsidRPr="001F0F2E">
          <w:rPr>
            <w:rStyle w:val="Hyperlink"/>
          </w:rPr>
          <w:t>, el 20 Mayo de 2022</w:t>
        </w:r>
      </w:hyperlink>
      <w:r>
        <w:t xml:space="preserve"> se lee: “</w:t>
      </w:r>
      <w:r w:rsidRPr="001F0F2E">
        <w:rPr>
          <w:i/>
          <w:iCs/>
        </w:rPr>
        <w:t xml:space="preserve">El G7 apoya el trabajo del Consejo de Estabilidad Financiera (FSB) para monitorear y abordar la los riesgos de estabilidad que surgen de todas las formas de </w:t>
      </w:r>
      <w:proofErr w:type="spellStart"/>
      <w:r w:rsidRPr="001F0F2E">
        <w:rPr>
          <w:i/>
          <w:iCs/>
        </w:rPr>
        <w:t>criptoactivos</w:t>
      </w:r>
      <w:proofErr w:type="spellEnd"/>
      <w:r w:rsidRPr="001F0F2E">
        <w:rPr>
          <w:i/>
          <w:iCs/>
        </w:rPr>
        <w:t xml:space="preserve">, y da la bienvenida al aumento global cooperación para abordar los problemas regulatorios asociados con el uso de </w:t>
      </w:r>
      <w:proofErr w:type="spellStart"/>
      <w:r w:rsidRPr="001F0F2E">
        <w:rPr>
          <w:i/>
          <w:iCs/>
        </w:rPr>
        <w:t>criptoactivos</w:t>
      </w:r>
      <w:proofErr w:type="spellEnd"/>
      <w:r w:rsidRPr="001F0F2E">
        <w:rPr>
          <w:i/>
          <w:iCs/>
        </w:rPr>
        <w:t xml:space="preserve">, incluso en pagos transfronterizos. A la luz de la reciente agitación en el mercado de </w:t>
      </w:r>
      <w:proofErr w:type="spellStart"/>
      <w:r w:rsidRPr="001F0F2E">
        <w:rPr>
          <w:i/>
          <w:iCs/>
        </w:rPr>
        <w:t>criptoactivos</w:t>
      </w:r>
      <w:proofErr w:type="spellEnd"/>
      <w:r w:rsidRPr="001F0F2E">
        <w:rPr>
          <w:i/>
          <w:iCs/>
        </w:rPr>
        <w:t xml:space="preserve">, el G7 insta el FSB, en estrecha coordinación con los emisores de estándares internacionales, para avanzar en la rápida desarrollo e implementación de una regulación coherente e integral de </w:t>
      </w:r>
      <w:proofErr w:type="spellStart"/>
      <w:r w:rsidRPr="001F0F2E">
        <w:rPr>
          <w:i/>
          <w:iCs/>
        </w:rPr>
        <w:t>criptoactivos</w:t>
      </w:r>
      <w:proofErr w:type="spellEnd"/>
      <w:r w:rsidRPr="001F0F2E">
        <w:rPr>
          <w:i/>
          <w:iCs/>
        </w:rPr>
        <w:t xml:space="preserve"> emisores y proveedores de servicios, con miras a mantener </w:t>
      </w:r>
      <w:proofErr w:type="spellStart"/>
      <w:r w:rsidRPr="001F0F2E">
        <w:rPr>
          <w:i/>
          <w:iCs/>
        </w:rPr>
        <w:t>criptoactivos</w:t>
      </w:r>
      <w:proofErr w:type="spellEnd"/>
      <w:r w:rsidRPr="001F0F2E">
        <w:rPr>
          <w:i/>
          <w:iCs/>
        </w:rPr>
        <w:t xml:space="preserve">, incluidas las monedas estables, </w:t>
      </w:r>
      <w:r w:rsidR="001F0F2E" w:rsidRPr="001F0F2E">
        <w:rPr>
          <w:i/>
          <w:iCs/>
        </w:rPr>
        <w:t>a los mismos estándares</w:t>
      </w:r>
      <w:r w:rsidRPr="001F0F2E">
        <w:rPr>
          <w:i/>
          <w:iCs/>
        </w:rPr>
        <w:t xml:space="preserve"> que el resto del sistema financiero. En particular, el G7 pide una rápida implementación de la 'regla de viaje' del Grupo de Acción Financiera Internacional (GAFI) y divulgación más estricta e informes regulatorios, por ejemplo, con respecto a los activos de reserva que respaldan las monedas estables. Nosotros reafirmar que ningún proyecto de moneda estable global debe comenzar a operar hasta que aborde adecuadamente requisitos legales, reglamentarios y de supervisión pertinentes a través de un diseño adecuado y adhiriéndose a las normas aplicables. El G7 sigue comprometido con altos estándares regulatorios para </w:t>
      </w:r>
      <w:proofErr w:type="spellStart"/>
      <w:r w:rsidRPr="001F0F2E">
        <w:rPr>
          <w:i/>
          <w:iCs/>
        </w:rPr>
        <w:t>Stablecoins</w:t>
      </w:r>
      <w:proofErr w:type="spellEnd"/>
      <w:r w:rsidRPr="001F0F2E">
        <w:rPr>
          <w:i/>
          <w:iCs/>
        </w:rPr>
        <w:t xml:space="preserve"> globales, siguiendo el principio de misma actividad, mismo riesgo, misma regulación</w:t>
      </w:r>
      <w:r>
        <w:t>.</w:t>
      </w:r>
      <w:r w:rsidR="001F0F2E">
        <w:t>”</w:t>
      </w:r>
      <w:r w:rsidR="00CE0A1B">
        <w:t xml:space="preserve"> En los principios de la historia se encuentran los </w:t>
      </w:r>
      <w:r w:rsidR="00CE0A1B">
        <w:t xml:space="preserve">actos de determinación de las monedas. Estas vinieron a liberar a la comunidad de las permutas de bienes tangibles. Se convirtieron en una manifestación de la soberanía de cada gobernante y, posteriormente, un elemento distintivo de cada Estado. Hoy en día la multitud de monedas configura un conjunto en el cual cada una de ellas mantiene relaciones con las otras. Este panorama está cambiado ante el diseño y negociación de los llamados </w:t>
      </w:r>
      <w:proofErr w:type="spellStart"/>
      <w:r w:rsidR="00CE0A1B">
        <w:t>criptoactivos</w:t>
      </w:r>
      <w:proofErr w:type="spellEnd"/>
      <w:r w:rsidR="00CE0A1B">
        <w:t xml:space="preserve">. Así como materialmente una moneda de 100 pesos colombianos puede tener un costo de fabricación diferente, también los </w:t>
      </w:r>
      <w:proofErr w:type="spellStart"/>
      <w:r w:rsidR="00CE0A1B">
        <w:t>criptoactivos</w:t>
      </w:r>
      <w:proofErr w:type="spellEnd"/>
      <w:r w:rsidR="00CE0A1B">
        <w:t xml:space="preserve"> tendrán un costo muy distinto del que se le</w:t>
      </w:r>
      <w:r w:rsidR="00D75E93">
        <w:t>s</w:t>
      </w:r>
      <w:r w:rsidR="00CE0A1B">
        <w:t xml:space="preserve"> atribuya como valor </w:t>
      </w:r>
      <w:r w:rsidR="00A01BE9">
        <w:t xml:space="preserve">negociable. Las mayores expectativas están relacionadas con los proyectos de los bancos centrales, de poner en circulación sus propios </w:t>
      </w:r>
      <w:proofErr w:type="spellStart"/>
      <w:r w:rsidR="00A01BE9">
        <w:t>criptoactivos</w:t>
      </w:r>
      <w:proofErr w:type="spellEnd"/>
      <w:r w:rsidR="00A01BE9">
        <w:t xml:space="preserve">. No se tratará de monedas, en cuanto no serán creadas y reguladas por el legislador, ni se les concederá las características que corresponden a la soberanía de los Estados. Pero se utilizarán para intermediar la </w:t>
      </w:r>
      <w:r w:rsidR="00A41AEB">
        <w:t>compraventa</w:t>
      </w:r>
      <w:r w:rsidR="00A01BE9">
        <w:t xml:space="preserve"> de bienes y servicios.</w:t>
      </w:r>
      <w:r w:rsidR="00A41AEB">
        <w:t xml:space="preserve"> La volatilidad de ellos es una gran preocupación, así como la posibilidad de ser usados para el blanqueo de dinero o lavado de activos. Sean los que sean sus problemas, los proyectos de los bancos centrales y el apoyo del G7, en los términos atrás transcritos, dan pie para predecir que se volverán una realidad y entrarán a ser parte de las finanzas de las empresas. Así las </w:t>
      </w:r>
      <w:r w:rsidR="00D75E93">
        <w:t>cosas,</w:t>
      </w:r>
      <w:r w:rsidR="00A41AEB">
        <w:t xml:space="preserve"> los profesionales de la contabilidad tienen que estudiarlos y adquirir la respectiva competencia.</w:t>
      </w:r>
    </w:p>
    <w:p w14:paraId="05A708EE" w14:textId="5E5EB253" w:rsidR="00A41AEB" w:rsidRPr="00FC43B4" w:rsidRDefault="00A41AEB" w:rsidP="00A41AEB">
      <w:pPr>
        <w:jc w:val="right"/>
      </w:pPr>
      <w:r w:rsidRPr="003C4ED4">
        <w:rPr>
          <w:i/>
          <w:iCs/>
        </w:rPr>
        <w:t>Hernando Bermúdez Gómez</w:t>
      </w:r>
    </w:p>
    <w:sectPr w:rsidR="00A41AEB" w:rsidRPr="00FC43B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1D0D6" w14:textId="77777777" w:rsidR="00C84E20" w:rsidRDefault="00C84E20" w:rsidP="00EE7812">
      <w:pPr>
        <w:spacing w:after="0" w:line="240" w:lineRule="auto"/>
      </w:pPr>
      <w:r>
        <w:separator/>
      </w:r>
    </w:p>
  </w:endnote>
  <w:endnote w:type="continuationSeparator" w:id="0">
    <w:p w14:paraId="09AFFF56" w14:textId="77777777" w:rsidR="00C84E20" w:rsidRDefault="00C84E2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95E55" w14:textId="77777777" w:rsidR="00C84E20" w:rsidRDefault="00C84E20" w:rsidP="00EE7812">
      <w:pPr>
        <w:spacing w:after="0" w:line="240" w:lineRule="auto"/>
      </w:pPr>
      <w:r>
        <w:separator/>
      </w:r>
    </w:p>
  </w:footnote>
  <w:footnote w:type="continuationSeparator" w:id="0">
    <w:p w14:paraId="19F8BB12" w14:textId="77777777" w:rsidR="00C84E20" w:rsidRDefault="00C84E2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315FDB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88767F">
      <w:t>8</w:t>
    </w:r>
    <w:r w:rsidR="00BD60A3">
      <w:t>3</w:t>
    </w:r>
    <w:r>
      <w:t>,</w:t>
    </w:r>
    <w:r w:rsidR="00AD1603">
      <w:t xml:space="preserve"> </w:t>
    </w:r>
    <w:r w:rsidR="009256AF">
      <w:t>2</w:t>
    </w:r>
    <w:r w:rsidR="00BD60A3">
      <w:t>7</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C84E2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5560030">
    <w:abstractNumId w:val="0"/>
  </w:num>
  <w:num w:numId="2" w16cid:durableId="158540796">
    <w:abstractNumId w:val="20"/>
  </w:num>
  <w:num w:numId="3" w16cid:durableId="1423406063">
    <w:abstractNumId w:val="15"/>
  </w:num>
  <w:num w:numId="4" w16cid:durableId="1870412287">
    <w:abstractNumId w:val="2"/>
  </w:num>
  <w:num w:numId="5" w16cid:durableId="1293706597">
    <w:abstractNumId w:val="19"/>
  </w:num>
  <w:num w:numId="6" w16cid:durableId="1379548264">
    <w:abstractNumId w:val="34"/>
  </w:num>
  <w:num w:numId="7" w16cid:durableId="1125739174">
    <w:abstractNumId w:val="13"/>
  </w:num>
  <w:num w:numId="8" w16cid:durableId="90980902">
    <w:abstractNumId w:val="32"/>
  </w:num>
  <w:num w:numId="9" w16cid:durableId="1949458483">
    <w:abstractNumId w:val="37"/>
  </w:num>
  <w:num w:numId="10" w16cid:durableId="1257516608">
    <w:abstractNumId w:val="4"/>
  </w:num>
  <w:num w:numId="11" w16cid:durableId="727152331">
    <w:abstractNumId w:val="6"/>
  </w:num>
  <w:num w:numId="12" w16cid:durableId="1989825850">
    <w:abstractNumId w:val="18"/>
  </w:num>
  <w:num w:numId="13" w16cid:durableId="681279158">
    <w:abstractNumId w:val="21"/>
  </w:num>
  <w:num w:numId="14" w16cid:durableId="7803109">
    <w:abstractNumId w:val="31"/>
  </w:num>
  <w:num w:numId="15" w16cid:durableId="518276573">
    <w:abstractNumId w:val="9"/>
  </w:num>
  <w:num w:numId="16" w16cid:durableId="1979022538">
    <w:abstractNumId w:val="7"/>
  </w:num>
  <w:num w:numId="17" w16cid:durableId="413748333">
    <w:abstractNumId w:val="16"/>
  </w:num>
  <w:num w:numId="18" w16cid:durableId="1730838139">
    <w:abstractNumId w:val="30"/>
  </w:num>
  <w:num w:numId="19" w16cid:durableId="2064674677">
    <w:abstractNumId w:val="25"/>
  </w:num>
  <w:num w:numId="20" w16cid:durableId="154107789">
    <w:abstractNumId w:val="8"/>
  </w:num>
  <w:num w:numId="21" w16cid:durableId="573275541">
    <w:abstractNumId w:val="26"/>
  </w:num>
  <w:num w:numId="22" w16cid:durableId="1688409198">
    <w:abstractNumId w:val="27"/>
  </w:num>
  <w:num w:numId="23" w16cid:durableId="771776517">
    <w:abstractNumId w:val="28"/>
  </w:num>
  <w:num w:numId="24" w16cid:durableId="889195749">
    <w:abstractNumId w:val="33"/>
  </w:num>
  <w:num w:numId="25" w16cid:durableId="1784568849">
    <w:abstractNumId w:val="22"/>
  </w:num>
  <w:num w:numId="26" w16cid:durableId="1137600041">
    <w:abstractNumId w:val="14"/>
  </w:num>
  <w:num w:numId="27" w16cid:durableId="513688767">
    <w:abstractNumId w:val="5"/>
  </w:num>
  <w:num w:numId="28" w16cid:durableId="2066445879">
    <w:abstractNumId w:val="23"/>
  </w:num>
  <w:num w:numId="29" w16cid:durableId="1161695528">
    <w:abstractNumId w:val="1"/>
  </w:num>
  <w:num w:numId="30" w16cid:durableId="686635935">
    <w:abstractNumId w:val="24"/>
  </w:num>
  <w:num w:numId="31" w16cid:durableId="404693412">
    <w:abstractNumId w:val="29"/>
  </w:num>
  <w:num w:numId="32" w16cid:durableId="448402850">
    <w:abstractNumId w:val="12"/>
  </w:num>
  <w:num w:numId="33" w16cid:durableId="85687902">
    <w:abstractNumId w:val="17"/>
  </w:num>
  <w:num w:numId="34" w16cid:durableId="2123720407">
    <w:abstractNumId w:val="3"/>
  </w:num>
  <w:num w:numId="35" w16cid:durableId="873227308">
    <w:abstractNumId w:val="35"/>
  </w:num>
  <w:num w:numId="36" w16cid:durableId="1632441882">
    <w:abstractNumId w:val="10"/>
  </w:num>
  <w:num w:numId="37" w16cid:durableId="755397617">
    <w:abstractNumId w:val="11"/>
  </w:num>
  <w:num w:numId="38" w16cid:durableId="90256685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6"/>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DFC"/>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20"/>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styleId="UnresolvedMention">
    <w:name w:val="Unresolved Mention"/>
    <w:basedOn w:val="DefaultParagraphFont"/>
    <w:uiPriority w:val="99"/>
    <w:semiHidden/>
    <w:unhideWhenUsed/>
    <w:rsid w:val="00766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undesfinanzministerium.de/Content/EN/Downloads/G7-G20/g7-meeting-bonn-koenigswinter-communique-en.pdf?__blob=publicationFile&amp;v=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CB38B-0633-471C-89E0-0D6B2D5F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513</Words>
  <Characters>2827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2022-06-25T15:07:00Z</dcterms:created>
  <dcterms:modified xsi:type="dcterms:W3CDTF">2022-06-25T15:07:00Z</dcterms:modified>
</cp:coreProperties>
</file>