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F87" w14:textId="1261F72F" w:rsidR="000E2F1C" w:rsidRPr="000E2F1C" w:rsidRDefault="000E2F1C" w:rsidP="000E2F1C">
      <w:pPr>
        <w:keepNext/>
        <w:framePr w:dropCap="drop" w:lines="3" w:wrap="around" w:vAnchor="text" w:hAnchor="text"/>
        <w:spacing w:after="0" w:line="926" w:lineRule="exact"/>
        <w:textAlignment w:val="baseline"/>
        <w:rPr>
          <w:position w:val="-8"/>
          <w:sz w:val="120"/>
        </w:rPr>
      </w:pPr>
      <w:r w:rsidRPr="000E2F1C">
        <w:rPr>
          <w:position w:val="-8"/>
          <w:sz w:val="120"/>
        </w:rPr>
        <w:t>C</w:t>
      </w:r>
    </w:p>
    <w:p w14:paraId="2A0DA7FA" w14:textId="085505D9" w:rsidR="007D4DAA" w:rsidRDefault="00575978" w:rsidP="002320D1">
      <w:r>
        <w:t xml:space="preserve">omo se recordará, </w:t>
      </w:r>
      <w:r w:rsidRPr="000E2F1C">
        <w:rPr>
          <w:smallCaps/>
        </w:rPr>
        <w:t>Iasb</w:t>
      </w:r>
      <w:r>
        <w:t xml:space="preserve"> está adelantando un proyecto denominado </w:t>
      </w:r>
      <w:r w:rsidRPr="000E2F1C">
        <w:rPr>
          <w:i/>
        </w:rPr>
        <w:t xml:space="preserve">Estados Financieros </w:t>
      </w:r>
      <w:r w:rsidR="000E2F1C">
        <w:rPr>
          <w:i/>
        </w:rPr>
        <w:t>Principales</w:t>
      </w:r>
      <w:r w:rsidR="00FB2525">
        <w:rPr>
          <w:i/>
        </w:rPr>
        <w:t xml:space="preserve"> </w:t>
      </w:r>
      <w:r w:rsidR="00FB2525">
        <w:t>(primarios, básicos)</w:t>
      </w:r>
      <w:r w:rsidR="000E2F1C">
        <w:t>.</w:t>
      </w:r>
      <w:r w:rsidR="003F4B03">
        <w:t xml:space="preserve"> En desarrollo de é</w:t>
      </w:r>
      <w:r w:rsidR="000E2F1C">
        <w:t xml:space="preserve">ste se han discutido las implicaciones de mostrar o revelar las partidas </w:t>
      </w:r>
      <w:r w:rsidR="00FB2525">
        <w:t>de acuerdo con</w:t>
      </w:r>
      <w:r w:rsidR="000E2F1C">
        <w:t xml:space="preserve"> su naturaleza o función. </w:t>
      </w:r>
      <w:proofErr w:type="spellStart"/>
      <w:r w:rsidR="000E2F1C" w:rsidRPr="000E2F1C">
        <w:rPr>
          <w:lang w:val="en-US"/>
        </w:rPr>
        <w:t>Según</w:t>
      </w:r>
      <w:proofErr w:type="spellEnd"/>
      <w:r w:rsidR="000E2F1C" w:rsidRPr="000E2F1C">
        <w:rPr>
          <w:lang w:val="en-US"/>
        </w:rPr>
        <w:t xml:space="preserve"> se lee </w:t>
      </w:r>
      <w:proofErr w:type="spellStart"/>
      <w:r w:rsidR="000E2F1C" w:rsidRPr="000E2F1C">
        <w:rPr>
          <w:lang w:val="en-US"/>
        </w:rPr>
        <w:t>en</w:t>
      </w:r>
      <w:proofErr w:type="spellEnd"/>
      <w:r w:rsidR="000E2F1C" w:rsidRPr="000E2F1C">
        <w:rPr>
          <w:lang w:val="en-US"/>
        </w:rPr>
        <w:t xml:space="preserve"> el </w:t>
      </w:r>
      <w:hyperlink r:id="rId8" w:history="1">
        <w:proofErr w:type="spellStart"/>
        <w:r w:rsidR="000E2F1C" w:rsidRPr="00FB2525">
          <w:rPr>
            <w:rStyle w:val="Hyperlink"/>
            <w:lang w:val="en-US"/>
          </w:rPr>
          <w:t>documento</w:t>
        </w:r>
        <w:proofErr w:type="spellEnd"/>
        <w:r w:rsidR="000E2F1C" w:rsidRPr="00FB2525">
          <w:rPr>
            <w:rStyle w:val="Hyperlink"/>
            <w:lang w:val="en-US"/>
          </w:rPr>
          <w:t xml:space="preserve"> </w:t>
        </w:r>
        <w:proofErr w:type="spellStart"/>
        <w:r w:rsidR="000E2F1C" w:rsidRPr="00FB2525">
          <w:rPr>
            <w:rStyle w:val="Hyperlink"/>
            <w:lang w:val="en-US"/>
          </w:rPr>
          <w:t>preparado</w:t>
        </w:r>
        <w:proofErr w:type="spellEnd"/>
        <w:r w:rsidR="000E2F1C" w:rsidRPr="00FB2525">
          <w:rPr>
            <w:rStyle w:val="Hyperlink"/>
            <w:lang w:val="en-US"/>
          </w:rPr>
          <w:t xml:space="preserve"> </w:t>
        </w:r>
        <w:proofErr w:type="spellStart"/>
        <w:r w:rsidR="000E2F1C" w:rsidRPr="00FB2525">
          <w:rPr>
            <w:rStyle w:val="Hyperlink"/>
            <w:lang w:val="en-US"/>
          </w:rPr>
          <w:t>por</w:t>
        </w:r>
        <w:proofErr w:type="spellEnd"/>
        <w:r w:rsidR="000E2F1C" w:rsidRPr="00FB2525">
          <w:rPr>
            <w:rStyle w:val="Hyperlink"/>
            <w:lang w:val="en-US"/>
          </w:rPr>
          <w:t xml:space="preserve"> el personal de planta</w:t>
        </w:r>
      </w:hyperlink>
      <w:r w:rsidR="000E2F1C" w:rsidRPr="000E2F1C">
        <w:rPr>
          <w:lang w:val="en-US"/>
        </w:rPr>
        <w:t xml:space="preserve"> “</w:t>
      </w:r>
      <w:r w:rsidR="000E2F1C" w:rsidRPr="00FB2525">
        <w:rPr>
          <w:i/>
          <w:lang w:val="en-US"/>
        </w:rPr>
        <w:t>At the April 2022 meeting, the IASB discussed the feedback from ASAF members and other stakeholders on the analysis of operating expenses by nature in the notes when an entity reports operating expenses by function in the statement of profit or loss (see Agenda paper 21A).</w:t>
      </w:r>
      <w:r w:rsidR="00FB2525" w:rsidRPr="00FB2525">
        <w:rPr>
          <w:i/>
          <w:lang w:val="en-US"/>
        </w:rPr>
        <w:t xml:space="preserve"> </w:t>
      </w:r>
      <w:r w:rsidR="000E2F1C" w:rsidRPr="00FB2525">
        <w:rPr>
          <w:rFonts w:ascii="Segoe UI Symbol" w:hAnsi="Segoe UI Symbol" w:cs="Segoe UI Symbol"/>
          <w:i/>
          <w:lang w:val="en-US"/>
        </w:rPr>
        <w:t>✓</w:t>
      </w:r>
      <w:r w:rsidR="000E2F1C" w:rsidRPr="00FB2525">
        <w:rPr>
          <w:i/>
          <w:lang w:val="en-US"/>
        </w:rPr>
        <w:t xml:space="preserve"> Basis for the way forward: Feedback received and discussion at the April 2022 IASB meeting suggests that requiring an entity to disclose, at a minimum, the amounts of depreciation, </w:t>
      </w:r>
      <w:proofErr w:type="spellStart"/>
      <w:r w:rsidR="000E2F1C" w:rsidRPr="00FB2525">
        <w:rPr>
          <w:i/>
          <w:lang w:val="en-US"/>
        </w:rPr>
        <w:t>amortisation</w:t>
      </w:r>
      <w:proofErr w:type="spellEnd"/>
      <w:r w:rsidR="000E2F1C" w:rsidRPr="00FB2525">
        <w:rPr>
          <w:i/>
          <w:lang w:val="en-US"/>
        </w:rPr>
        <w:t>, and employee benefits included in each line item(s) in the statement of profit or loss could be an alternative to the proposal in the ED that better balances costs and benefits</w:t>
      </w:r>
      <w:r w:rsidR="000E2F1C" w:rsidRPr="000E2F1C">
        <w:rPr>
          <w:lang w:val="en-US"/>
        </w:rPr>
        <w:t>.</w:t>
      </w:r>
      <w:r w:rsidR="00FB2525">
        <w:rPr>
          <w:lang w:val="en-US"/>
        </w:rPr>
        <w:t xml:space="preserve">” </w:t>
      </w:r>
      <w:r w:rsidR="00FB2525" w:rsidRPr="00FB2525">
        <w:t xml:space="preserve">Una posibilidad es </w:t>
      </w:r>
      <w:r w:rsidR="00FB2525">
        <w:t>presenta</w:t>
      </w:r>
      <w:r w:rsidR="00FB2525" w:rsidRPr="00FB2525">
        <w:t xml:space="preserve">r las cifras por </w:t>
      </w:r>
      <w:r w:rsidR="00FB2525">
        <w:t>divisió</w:t>
      </w:r>
      <w:r w:rsidR="00FB2525" w:rsidRPr="00FB2525">
        <w:t>n, unidad o l</w:t>
      </w:r>
      <w:r w:rsidR="00FB2525">
        <w:t>ínea de negocio detallando por su naturaleza las distintas partidas. Otra posibilidad es revelar por su naturaleza los principales ítem, por ejemplo, los que representen el 50% del total. Se dice que esta cuestión tiene que ver con el costo versus el beneficio de preparar los estados de una u otra forma. Si consideramos que en Colombia es obligatorio mantener el detalle por su naturaleza para informarlo a la autoridad tributaria, podríamos plantear la hipótesis según la cual el costo de mostrar la naturaleza en las notas a los estados financieros podría ser menor al de otras jurisdicciones en las cuales no exista esa ob</w:t>
      </w:r>
      <w:r w:rsidR="002320D1">
        <w:t>l</w:t>
      </w:r>
      <w:r w:rsidR="00FB2525">
        <w:t>igación.</w:t>
      </w:r>
      <w:r w:rsidR="002320D1">
        <w:t xml:space="preserve"> Es claro que las revelaciones </w:t>
      </w:r>
      <w:r w:rsidR="002320D1">
        <w:t xml:space="preserve">serán adecuadas o no según el enfoque del análisis que quiera realizar el usuario, lector o analista de la información. Existen tendencias contradictorias: hacer de los estados financieros una pieza breve y, al mismo tiempo, tratar de suministrar las mayores revelaciones. Para los analistas de inversiones y los empresarios del sector es importante contar con la mayor explicación. </w:t>
      </w:r>
      <w:hyperlink r:id="rId9" w:history="1">
        <w:proofErr w:type="spellStart"/>
        <w:r w:rsidR="002320D1" w:rsidRPr="002320D1">
          <w:rPr>
            <w:rStyle w:val="Hyperlink"/>
            <w:lang w:val="en-US"/>
          </w:rPr>
          <w:t>Recordemos</w:t>
        </w:r>
        <w:proofErr w:type="spellEnd"/>
      </w:hyperlink>
      <w:r w:rsidR="002320D1" w:rsidRPr="002320D1">
        <w:rPr>
          <w:lang w:val="en-US"/>
        </w:rPr>
        <w:t xml:space="preserve"> que “</w:t>
      </w:r>
      <w:r w:rsidR="002320D1" w:rsidRPr="002320D1">
        <w:rPr>
          <w:i/>
          <w:lang w:val="en-US"/>
        </w:rPr>
        <w:t>The objective of ASAF is to provide an advisory forum in which members can constructively contribute towards the achievement of the IASB’s goal of developing globally accepted high-quality accounting standards</w:t>
      </w:r>
      <w:r w:rsidR="002320D1">
        <w:rPr>
          <w:lang w:val="en-US"/>
        </w:rPr>
        <w:t xml:space="preserve">”. </w:t>
      </w:r>
      <w:r w:rsidR="002320D1" w:rsidRPr="002320D1">
        <w:rPr>
          <w:lang w:val="en-US"/>
        </w:rPr>
        <w:t xml:space="preserve">Hoy </w:t>
      </w:r>
      <w:proofErr w:type="spellStart"/>
      <w:r w:rsidR="002320D1" w:rsidRPr="002320D1">
        <w:rPr>
          <w:lang w:val="en-US"/>
        </w:rPr>
        <w:t>en</w:t>
      </w:r>
      <w:proofErr w:type="spellEnd"/>
      <w:r w:rsidR="002320D1" w:rsidRPr="002320D1">
        <w:rPr>
          <w:lang w:val="en-US"/>
        </w:rPr>
        <w:t xml:space="preserve"> día </w:t>
      </w:r>
      <w:hyperlink r:id="rId10" w:anchor="members" w:history="1">
        <w:r w:rsidR="002320D1" w:rsidRPr="002320D1">
          <w:rPr>
            <w:rStyle w:val="Hyperlink"/>
            <w:lang w:val="en-US"/>
          </w:rPr>
          <w:t xml:space="preserve">se integra </w:t>
        </w:r>
        <w:proofErr w:type="spellStart"/>
        <w:r w:rsidR="002320D1" w:rsidRPr="002320D1">
          <w:rPr>
            <w:rStyle w:val="Hyperlink"/>
            <w:lang w:val="en-US"/>
          </w:rPr>
          <w:t>por</w:t>
        </w:r>
        <w:proofErr w:type="spellEnd"/>
      </w:hyperlink>
      <w:r w:rsidR="002320D1" w:rsidRPr="002320D1">
        <w:rPr>
          <w:lang w:val="en-US"/>
        </w:rPr>
        <w:t xml:space="preserve"> </w:t>
      </w:r>
      <w:r w:rsidR="002320D1" w:rsidRPr="002320D1">
        <w:rPr>
          <w:i/>
          <w:lang w:val="en-US"/>
        </w:rPr>
        <w:t>“• one member from Africa; • three members from the Americas (North and South); •three members from the Asia-Oceania region; • three members from Europe (including non EU); and • two members appointed from any area of the world at large, subject to maintaining an overall geographical balance</w:t>
      </w:r>
      <w:r w:rsidR="002320D1" w:rsidRPr="002320D1">
        <w:rPr>
          <w:lang w:val="en-US"/>
        </w:rPr>
        <w:t>.</w:t>
      </w:r>
      <w:r w:rsidR="002320D1">
        <w:rPr>
          <w:lang w:val="en-US"/>
        </w:rPr>
        <w:t>”</w:t>
      </w:r>
      <w:r w:rsidR="00704547">
        <w:rPr>
          <w:lang w:val="en-US"/>
        </w:rPr>
        <w:t xml:space="preserve"> </w:t>
      </w:r>
      <w:r w:rsidR="00704547" w:rsidRPr="00704547">
        <w:t xml:space="preserve">Por el continente americano hoy está incluido el </w:t>
      </w:r>
      <w:r w:rsidR="00704547" w:rsidRPr="00704547">
        <w:rPr>
          <w:i/>
        </w:rPr>
        <w:t xml:space="preserve">Group </w:t>
      </w:r>
      <w:proofErr w:type="spellStart"/>
      <w:r w:rsidR="00704547" w:rsidRPr="00704547">
        <w:rPr>
          <w:i/>
        </w:rPr>
        <w:t>of</w:t>
      </w:r>
      <w:proofErr w:type="spellEnd"/>
      <w:r w:rsidR="00704547" w:rsidRPr="00704547">
        <w:rPr>
          <w:i/>
        </w:rPr>
        <w:t xml:space="preserve"> </w:t>
      </w:r>
      <w:proofErr w:type="spellStart"/>
      <w:r w:rsidR="00704547" w:rsidRPr="00704547">
        <w:rPr>
          <w:i/>
        </w:rPr>
        <w:t>Latin</w:t>
      </w:r>
      <w:proofErr w:type="spellEnd"/>
      <w:r w:rsidR="00704547" w:rsidRPr="00704547">
        <w:rPr>
          <w:i/>
        </w:rPr>
        <w:t xml:space="preserve"> American Accounting Standard </w:t>
      </w:r>
      <w:proofErr w:type="spellStart"/>
      <w:r w:rsidR="00704547" w:rsidRPr="00704547">
        <w:rPr>
          <w:i/>
        </w:rPr>
        <w:t>Setters</w:t>
      </w:r>
      <w:proofErr w:type="spellEnd"/>
      <w:r w:rsidR="00704547" w:rsidRPr="00704547">
        <w:t xml:space="preserve"> (Grupo </w:t>
      </w:r>
      <w:r w:rsidR="00704547">
        <w:t xml:space="preserve">latinoamericano </w:t>
      </w:r>
      <w:r w:rsidR="00704547" w:rsidRPr="00704547">
        <w:t xml:space="preserve">de emisores de </w:t>
      </w:r>
      <w:r w:rsidR="00704547">
        <w:t xml:space="preserve">normas de información financiera </w:t>
      </w:r>
      <w:proofErr w:type="spellStart"/>
      <w:r w:rsidR="00704547">
        <w:t>Glenif</w:t>
      </w:r>
      <w:proofErr w:type="spellEnd"/>
      <w:r w:rsidR="00704547">
        <w:t>). Muchas veces estas consultas anticipan los criterios que posteriormente tendrán en cuenta los respectivos emisores de estándares.</w:t>
      </w:r>
      <w:r w:rsidR="002E1A7E">
        <w:t xml:space="preserve"> En Colombia muchas empresas aún no han aprendido a elaborar revelaciones, lo cual no fastidia a nadie pues la circulación de sus informes es muy reducida. Esto implica que sus contadores no tienen experiencia en su preparación. Algunas publicaciones de otros países muestran las que consideran las mejores notas preparadas para un período.</w:t>
      </w:r>
    </w:p>
    <w:p w14:paraId="5A2088FD" w14:textId="6CE26AEA" w:rsidR="002E1A7E" w:rsidRPr="00704547" w:rsidRDefault="002E1A7E" w:rsidP="002E1A7E">
      <w:pPr>
        <w:jc w:val="right"/>
      </w:pPr>
      <w:r>
        <w:rPr>
          <w:i/>
        </w:rPr>
        <w:t>Hernando Bermúdez Gó</w:t>
      </w:r>
      <w:r w:rsidRPr="001924A1">
        <w:rPr>
          <w:i/>
        </w:rPr>
        <w:t>mez</w:t>
      </w:r>
    </w:p>
    <w:sectPr w:rsidR="002E1A7E" w:rsidRPr="0070454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8679" w14:textId="77777777" w:rsidR="00C7756B" w:rsidRDefault="00C7756B" w:rsidP="00EE7812">
      <w:pPr>
        <w:spacing w:after="0" w:line="240" w:lineRule="auto"/>
      </w:pPr>
      <w:r>
        <w:separator/>
      </w:r>
    </w:p>
  </w:endnote>
  <w:endnote w:type="continuationSeparator" w:id="0">
    <w:p w14:paraId="5B590707" w14:textId="77777777" w:rsidR="00C7756B" w:rsidRDefault="00C775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F15BD" w14:textId="77777777" w:rsidR="00C7756B" w:rsidRDefault="00C7756B" w:rsidP="00EE7812">
      <w:pPr>
        <w:spacing w:after="0" w:line="240" w:lineRule="auto"/>
      </w:pPr>
      <w:r>
        <w:separator/>
      </w:r>
    </w:p>
  </w:footnote>
  <w:footnote w:type="continuationSeparator" w:id="0">
    <w:p w14:paraId="745CF483" w14:textId="77777777" w:rsidR="00C7756B" w:rsidRDefault="00C775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BF0F41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9E6E98">
      <w:t>6</w:t>
    </w:r>
    <w:r>
      <w:t>,</w:t>
    </w:r>
    <w:r w:rsidR="00AD1603">
      <w:t xml:space="preserve"> </w:t>
    </w:r>
    <w:r w:rsidR="009256AF">
      <w:t>2</w:t>
    </w:r>
    <w:r w:rsidR="00BD60A3">
      <w:t>7</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C7756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1760059">
    <w:abstractNumId w:val="0"/>
  </w:num>
  <w:num w:numId="2" w16cid:durableId="1813522422">
    <w:abstractNumId w:val="20"/>
  </w:num>
  <w:num w:numId="3" w16cid:durableId="1614169157">
    <w:abstractNumId w:val="15"/>
  </w:num>
  <w:num w:numId="4" w16cid:durableId="2061202166">
    <w:abstractNumId w:val="2"/>
  </w:num>
  <w:num w:numId="5" w16cid:durableId="674116170">
    <w:abstractNumId w:val="19"/>
  </w:num>
  <w:num w:numId="6" w16cid:durableId="84958677">
    <w:abstractNumId w:val="34"/>
  </w:num>
  <w:num w:numId="7" w16cid:durableId="1679962309">
    <w:abstractNumId w:val="13"/>
  </w:num>
  <w:num w:numId="8" w16cid:durableId="1014529348">
    <w:abstractNumId w:val="32"/>
  </w:num>
  <w:num w:numId="9" w16cid:durableId="499468022">
    <w:abstractNumId w:val="37"/>
  </w:num>
  <w:num w:numId="10" w16cid:durableId="233052614">
    <w:abstractNumId w:val="4"/>
  </w:num>
  <w:num w:numId="11" w16cid:durableId="1704207511">
    <w:abstractNumId w:val="6"/>
  </w:num>
  <w:num w:numId="12" w16cid:durableId="1688478297">
    <w:abstractNumId w:val="18"/>
  </w:num>
  <w:num w:numId="13" w16cid:durableId="1488593751">
    <w:abstractNumId w:val="21"/>
  </w:num>
  <w:num w:numId="14" w16cid:durableId="813982225">
    <w:abstractNumId w:val="31"/>
  </w:num>
  <w:num w:numId="15" w16cid:durableId="123937023">
    <w:abstractNumId w:val="9"/>
  </w:num>
  <w:num w:numId="16" w16cid:durableId="2127137">
    <w:abstractNumId w:val="7"/>
  </w:num>
  <w:num w:numId="17" w16cid:durableId="49958109">
    <w:abstractNumId w:val="16"/>
  </w:num>
  <w:num w:numId="18" w16cid:durableId="1315531018">
    <w:abstractNumId w:val="30"/>
  </w:num>
  <w:num w:numId="19" w16cid:durableId="668483619">
    <w:abstractNumId w:val="25"/>
  </w:num>
  <w:num w:numId="20" w16cid:durableId="1620259283">
    <w:abstractNumId w:val="8"/>
  </w:num>
  <w:num w:numId="21" w16cid:durableId="557597116">
    <w:abstractNumId w:val="26"/>
  </w:num>
  <w:num w:numId="22" w16cid:durableId="1832215736">
    <w:abstractNumId w:val="27"/>
  </w:num>
  <w:num w:numId="23" w16cid:durableId="1508790362">
    <w:abstractNumId w:val="28"/>
  </w:num>
  <w:num w:numId="24" w16cid:durableId="1614435479">
    <w:abstractNumId w:val="33"/>
  </w:num>
  <w:num w:numId="25" w16cid:durableId="820267475">
    <w:abstractNumId w:val="22"/>
  </w:num>
  <w:num w:numId="26" w16cid:durableId="233781468">
    <w:abstractNumId w:val="14"/>
  </w:num>
  <w:num w:numId="27" w16cid:durableId="632056379">
    <w:abstractNumId w:val="5"/>
  </w:num>
  <w:num w:numId="28" w16cid:durableId="330064062">
    <w:abstractNumId w:val="23"/>
  </w:num>
  <w:num w:numId="29" w16cid:durableId="754715602">
    <w:abstractNumId w:val="1"/>
  </w:num>
  <w:num w:numId="30" w16cid:durableId="443428256">
    <w:abstractNumId w:val="24"/>
  </w:num>
  <w:num w:numId="31" w16cid:durableId="479544350">
    <w:abstractNumId w:val="29"/>
  </w:num>
  <w:num w:numId="32" w16cid:durableId="1475679342">
    <w:abstractNumId w:val="12"/>
  </w:num>
  <w:num w:numId="33" w16cid:durableId="1474373795">
    <w:abstractNumId w:val="17"/>
  </w:num>
  <w:num w:numId="34" w16cid:durableId="1829512600">
    <w:abstractNumId w:val="3"/>
  </w:num>
  <w:num w:numId="35" w16cid:durableId="878511933">
    <w:abstractNumId w:val="35"/>
  </w:num>
  <w:num w:numId="36" w16cid:durableId="814571258">
    <w:abstractNumId w:val="10"/>
  </w:num>
  <w:num w:numId="37" w16cid:durableId="1242789677">
    <w:abstractNumId w:val="11"/>
  </w:num>
  <w:num w:numId="38" w16cid:durableId="127397702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516"/>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6B"/>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meetings/2022/july/asaf/ap6-pf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rs.org/groups/accounting-standards-advisory-forum/" TargetMode="External"/><Relationship Id="rId4" Type="http://schemas.openxmlformats.org/officeDocument/2006/relationships/settings" Target="settings.xml"/><Relationship Id="rId9" Type="http://schemas.openxmlformats.org/officeDocument/2006/relationships/hyperlink" Target="https://www.ifrs.org/groups/accounting-standards-advisory-for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7F38-2179-4560-BD54-C98DE3B5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3020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2022-06-25T15:16:00Z</dcterms:created>
  <dcterms:modified xsi:type="dcterms:W3CDTF">2022-06-25T15:16:00Z</dcterms:modified>
</cp:coreProperties>
</file>