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B111" w14:textId="19B70A5E" w:rsidR="00152A60" w:rsidRPr="00152A60" w:rsidRDefault="00152A60" w:rsidP="00152A6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  <w:lang w:val="en-US"/>
        </w:rPr>
      </w:pPr>
      <w:r w:rsidRPr="00152A60">
        <w:rPr>
          <w:position w:val="-8"/>
          <w:sz w:val="123"/>
          <w:lang w:val="en-US"/>
        </w:rPr>
        <w:t>T</w:t>
      </w:r>
    </w:p>
    <w:p w14:paraId="7A56EBE5" w14:textId="5F7DE319" w:rsidR="002A579B" w:rsidRDefault="0038234B" w:rsidP="00152A60">
      <w:r w:rsidRPr="00152A60">
        <w:rPr>
          <w:lang w:val="en-US"/>
        </w:rPr>
        <w:t xml:space="preserve">raducimos </w:t>
      </w:r>
      <w:proofErr w:type="spellStart"/>
      <w:r w:rsidRPr="00152A60">
        <w:rPr>
          <w:lang w:val="en-US"/>
        </w:rPr>
        <w:t>en</w:t>
      </w:r>
      <w:proofErr w:type="spellEnd"/>
      <w:r w:rsidRPr="00152A60">
        <w:rPr>
          <w:lang w:val="en-US"/>
        </w:rPr>
        <w:t xml:space="preserve"> forma libre </w:t>
      </w:r>
      <w:proofErr w:type="spellStart"/>
      <w:r w:rsidRPr="00152A60">
        <w:rPr>
          <w:lang w:val="en-US"/>
        </w:rPr>
        <w:t>parte</w:t>
      </w:r>
      <w:proofErr w:type="spellEnd"/>
      <w:r w:rsidRPr="00152A60">
        <w:rPr>
          <w:lang w:val="en-US"/>
        </w:rPr>
        <w:t xml:space="preserve"> de las </w:t>
      </w:r>
      <w:proofErr w:type="spellStart"/>
      <w:r w:rsidRPr="00152A60">
        <w:rPr>
          <w:lang w:val="en-US"/>
        </w:rPr>
        <w:t>conclusiones</w:t>
      </w:r>
      <w:proofErr w:type="spellEnd"/>
      <w:r w:rsidRPr="00152A60">
        <w:rPr>
          <w:lang w:val="en-US"/>
        </w:rPr>
        <w:t xml:space="preserve"> del </w:t>
      </w:r>
      <w:proofErr w:type="spellStart"/>
      <w:r w:rsidR="00152A60" w:rsidRPr="00152A60">
        <w:rPr>
          <w:lang w:val="en-US"/>
        </w:rPr>
        <w:t>artículo</w:t>
      </w:r>
      <w:proofErr w:type="spellEnd"/>
      <w:r w:rsidR="00152A60" w:rsidRPr="00152A60">
        <w:rPr>
          <w:lang w:val="en-US"/>
        </w:rPr>
        <w:t xml:space="preserve"> </w:t>
      </w:r>
      <w:proofErr w:type="spellStart"/>
      <w:r w:rsidR="00152A60" w:rsidRPr="00152A60">
        <w:rPr>
          <w:lang w:val="en-US"/>
        </w:rPr>
        <w:t>publicado</w:t>
      </w:r>
      <w:proofErr w:type="spellEnd"/>
      <w:r w:rsidR="00152A60" w:rsidRPr="00152A60">
        <w:rPr>
          <w:lang w:val="en-US"/>
        </w:rPr>
        <w:t xml:space="preserve"> </w:t>
      </w:r>
      <w:proofErr w:type="spellStart"/>
      <w:r w:rsidR="00152A60" w:rsidRPr="00152A60">
        <w:rPr>
          <w:lang w:val="en-US"/>
        </w:rPr>
        <w:t>por</w:t>
      </w:r>
      <w:proofErr w:type="spellEnd"/>
      <w:r w:rsidR="00152A60" w:rsidRPr="00152A60">
        <w:rPr>
          <w:lang w:val="en-US"/>
        </w:rPr>
        <w:t xml:space="preserve"> </w:t>
      </w:r>
      <w:r w:rsidR="00152A60" w:rsidRPr="00152A60">
        <w:rPr>
          <w:i/>
          <w:lang w:val="en-US"/>
        </w:rPr>
        <w:t>Accounting, Auditing &amp; Accountability Journal</w:t>
      </w:r>
      <w:r w:rsidR="00152A60" w:rsidRPr="00152A60">
        <w:rPr>
          <w:lang w:val="en-US"/>
        </w:rPr>
        <w:t xml:space="preserve">, Volume 35 Issue 9, </w:t>
      </w:r>
      <w:proofErr w:type="spellStart"/>
      <w:r w:rsidR="00152A60" w:rsidRPr="00152A60">
        <w:rPr>
          <w:lang w:val="en-US"/>
        </w:rPr>
        <w:t>titulado</w:t>
      </w:r>
      <w:proofErr w:type="spellEnd"/>
      <w:r w:rsidR="00152A60" w:rsidRPr="00152A60">
        <w:rPr>
          <w:lang w:val="en-US"/>
        </w:rPr>
        <w:t xml:space="preserve"> </w:t>
      </w:r>
      <w:r w:rsidR="00152A60" w:rsidRPr="00152A60">
        <w:rPr>
          <w:i/>
          <w:lang w:val="en-US"/>
        </w:rPr>
        <w:t>The language of profit warnings: a case of denial, defiance, desperation and defeat</w:t>
      </w:r>
      <w:r w:rsidR="00152A60">
        <w:rPr>
          <w:lang w:val="en-US"/>
        </w:rPr>
        <w:t xml:space="preserve">, </w:t>
      </w:r>
      <w:proofErr w:type="spellStart"/>
      <w:r w:rsidR="00152A60">
        <w:rPr>
          <w:lang w:val="en-US"/>
        </w:rPr>
        <w:t>escrito</w:t>
      </w:r>
      <w:proofErr w:type="spellEnd"/>
      <w:r w:rsidR="00152A60">
        <w:rPr>
          <w:lang w:val="en-US"/>
        </w:rPr>
        <w:t xml:space="preserve"> </w:t>
      </w:r>
      <w:proofErr w:type="spellStart"/>
      <w:r w:rsidR="00152A60">
        <w:rPr>
          <w:lang w:val="en-US"/>
        </w:rPr>
        <w:t>por</w:t>
      </w:r>
      <w:proofErr w:type="spellEnd"/>
      <w:r w:rsidR="00152A60">
        <w:rPr>
          <w:lang w:val="en-US"/>
        </w:rPr>
        <w:t xml:space="preserve"> </w:t>
      </w:r>
      <w:r w:rsidR="00152A60" w:rsidRPr="00152A60">
        <w:rPr>
          <w:lang w:val="en-US"/>
        </w:rPr>
        <w:t xml:space="preserve">Victoria C. Edgar (University of </w:t>
      </w:r>
      <w:proofErr w:type="spellStart"/>
      <w:r w:rsidR="00152A60" w:rsidRPr="00152A60">
        <w:rPr>
          <w:lang w:val="en-US"/>
        </w:rPr>
        <w:t>Agder</w:t>
      </w:r>
      <w:proofErr w:type="spellEnd"/>
      <w:r w:rsidR="00152A60" w:rsidRPr="00152A60">
        <w:rPr>
          <w:lang w:val="en-US"/>
        </w:rPr>
        <w:t>, Kristiansand, Norway)</w:t>
      </w:r>
      <w:r w:rsidR="00152A60">
        <w:rPr>
          <w:lang w:val="en-US"/>
        </w:rPr>
        <w:t xml:space="preserve">, </w:t>
      </w:r>
      <w:r w:rsidR="00152A60" w:rsidRPr="00152A60">
        <w:rPr>
          <w:lang w:val="en-US"/>
        </w:rPr>
        <w:t>Niamh M. Brennan (</w:t>
      </w:r>
      <w:proofErr w:type="spellStart"/>
      <w:r w:rsidR="00152A60" w:rsidRPr="00152A60">
        <w:rPr>
          <w:lang w:val="en-US"/>
        </w:rPr>
        <w:t>Lochlann</w:t>
      </w:r>
      <w:proofErr w:type="spellEnd"/>
      <w:r w:rsidR="00152A60" w:rsidRPr="00152A60">
        <w:rPr>
          <w:lang w:val="en-US"/>
        </w:rPr>
        <w:t xml:space="preserve"> Quinn School of Business, University College Dublin, Dublin, Ireland)</w:t>
      </w:r>
      <w:r w:rsidR="00152A60">
        <w:rPr>
          <w:lang w:val="en-US"/>
        </w:rPr>
        <w:t xml:space="preserve"> y </w:t>
      </w:r>
      <w:r w:rsidR="00152A60" w:rsidRPr="00152A60">
        <w:rPr>
          <w:lang w:val="en-US"/>
        </w:rPr>
        <w:t>Sean Bradley Power (TBS Business School, Toulouse, France)</w:t>
      </w:r>
      <w:r w:rsidR="00152A60">
        <w:rPr>
          <w:lang w:val="en-US"/>
        </w:rPr>
        <w:t xml:space="preserve">: </w:t>
      </w:r>
      <w:r w:rsidRPr="00152A60">
        <w:rPr>
          <w:lang w:val="en-US"/>
        </w:rPr>
        <w:t xml:space="preserve">“(…) </w:t>
      </w:r>
      <w:r w:rsidRPr="00152A60">
        <w:rPr>
          <w:i/>
        </w:rPr>
        <w:t xml:space="preserve">En contraste, nuestra investigación sugiere que la retórica (‎‎logos‎‎, ‎‎ethos‎‎ y ‎‎pathos‎‎) en las advertencias de ganancias favorece el ‎‎logos‎‎ en todo momento. El dominio de los ‎‎logotipos‎‎ crea una impresión de negocios como de costumbre, imitando las características de la comunicación rutinaria. Este dominio ‎‎del logos‎‎ sugiere que </w:t>
      </w:r>
      <w:proofErr w:type="spellStart"/>
      <w:r w:rsidRPr="00152A60">
        <w:rPr>
          <w:i/>
        </w:rPr>
        <w:t>Carillion</w:t>
      </w:r>
      <w:proofErr w:type="spellEnd"/>
      <w:r w:rsidRPr="00152A60">
        <w:rPr>
          <w:i/>
        </w:rPr>
        <w:t xml:space="preserve"> intenta justificar las advertencias de ganancias (grandes provisiones y rentabilidad inferior a la esperada) convenciendo a su audiencia (accionistas, clientes, público y medios de comunicación) utilizando hechos y cifras (apelaciones a la lógica) y justificando su desempeño utilizando la razón, como las acciones de gestión para abordar el desempeño (apelaciones a la razón) basadas en la retórica de la efectividad y la razonabilidad.‎ ‎Uno esperaría que </w:t>
      </w:r>
      <w:proofErr w:type="spellStart"/>
      <w:r w:rsidRPr="00152A60">
        <w:rPr>
          <w:i/>
        </w:rPr>
        <w:t>Carillion</w:t>
      </w:r>
      <w:proofErr w:type="spellEnd"/>
      <w:r w:rsidRPr="00152A60">
        <w:rPr>
          <w:i/>
        </w:rPr>
        <w:t xml:space="preserve"> usara ‎‎el ethos‎‎ para mejorar la credibilidad del pronóstico de advertencia de ganancias. Pero inicialmente, no lo hace, posiblemente porque la gerencia niega / desafía la situación. Es solo en la etapa de desesperación, con el precio de las acciones de </w:t>
      </w:r>
      <w:proofErr w:type="spellStart"/>
      <w:r w:rsidRPr="00152A60">
        <w:rPr>
          <w:i/>
        </w:rPr>
        <w:t>Carillion</w:t>
      </w:r>
      <w:proofErr w:type="spellEnd"/>
      <w:r w:rsidRPr="00152A60">
        <w:rPr>
          <w:i/>
        </w:rPr>
        <w:t xml:space="preserve"> que continúa cayendo, que </w:t>
      </w:r>
      <w:proofErr w:type="spellStart"/>
      <w:r w:rsidRPr="00152A60">
        <w:rPr>
          <w:i/>
        </w:rPr>
        <w:t>Carillion</w:t>
      </w:r>
      <w:proofErr w:type="spellEnd"/>
      <w:r w:rsidRPr="00152A60">
        <w:rPr>
          <w:i/>
        </w:rPr>
        <w:t xml:space="preserve"> comienza a usar ‎‎el espíritu‎‎ para mejorar la credibilidad al persuadir a las </w:t>
      </w:r>
      <w:r w:rsidRPr="00152A60">
        <w:rPr>
          <w:i/>
        </w:rPr>
        <w:t xml:space="preserve">audiencias de que se puede confiar y respetar en la administración de </w:t>
      </w:r>
      <w:proofErr w:type="spellStart"/>
      <w:r w:rsidRPr="00152A60">
        <w:rPr>
          <w:i/>
        </w:rPr>
        <w:t>Carillion</w:t>
      </w:r>
      <w:proofErr w:type="spellEnd"/>
      <w:r w:rsidRPr="00152A60">
        <w:rPr>
          <w:i/>
        </w:rPr>
        <w:t xml:space="preserve">. Pero es demasiado poco y demasiado tarde. La principal forma en que la gerencia trata de mejorar la credibilidad es aumentando las apelaciones a la </w:t>
      </w:r>
      <w:r w:rsidR="00152A60" w:rsidRPr="00152A60">
        <w:rPr>
          <w:i/>
        </w:rPr>
        <w:t>honestidad</w:t>
      </w:r>
      <w:r w:rsidR="00152A60">
        <w:t>. ‎</w:t>
      </w:r>
      <w:r>
        <w:t xml:space="preserve"> (…)”</w:t>
      </w:r>
      <w:r w:rsidR="00152A60">
        <w:t>. Los empresarios, con la ayuda de sus contadores, abogados y otros asesores, incluyendo a veces a sus revisores fiscales, utilizan lenguajes poco transparentes, por medio de los cuales producen una imagen de normalidad, al tiempo que en forma velada dan a conocer señales de peligro. El común de los lectores de los informes de gestión y de las notas que acompañan los estados financieros captan la apariencia, pero no lo que está detrás de ella. Siempre están esperando que aparezcan operaciones que los rediman. Pero a veces la insolvencia es inevitable. Alegan que no hay que producir pánico. Que los proveedores y prestamistas asustados actúan de manera muy rígida, provocando males mayores a las entidades. Sabemos que hay casos en los que las entidades del Gobierno, incluyendo algunas que ejercen inspección, vigilancia o control, respaldan el lenguaje aludido. Si las cosas salen mal nunca aceptarán responsabilidad, sino que imputarán todo lo sucedido a las empresas. En estos casos es cuando hemos podido observar una actitud lapidaria contra los revisores fiscales. A veces tienen razón y a veces no. Tratar de razonar con ellos es muy difícil porque se mantienen en el mundo ideal, el cual exponen con gran retórica.</w:t>
      </w:r>
      <w:r w:rsidR="00AB4611">
        <w:t xml:space="preserve"> Las señales de peligro deben ser tenidas en cuenta por todo contador, preparador o asegurador, por encima de todo deseo.</w:t>
      </w:r>
    </w:p>
    <w:p w14:paraId="7B7E268C" w14:textId="38EF9B7B" w:rsidR="00AB4611" w:rsidRPr="0038234B" w:rsidRDefault="00AB4611" w:rsidP="00AB4611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AB4611" w:rsidRPr="0038234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89EC" w14:textId="77777777" w:rsidR="004C055E" w:rsidRDefault="004C055E" w:rsidP="00EE7812">
      <w:pPr>
        <w:spacing w:after="0" w:line="240" w:lineRule="auto"/>
      </w:pPr>
      <w:r>
        <w:separator/>
      </w:r>
    </w:p>
  </w:endnote>
  <w:endnote w:type="continuationSeparator" w:id="0">
    <w:p w14:paraId="472BD613" w14:textId="77777777" w:rsidR="004C055E" w:rsidRDefault="004C05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507C" w14:textId="77777777" w:rsidR="004C055E" w:rsidRDefault="004C055E" w:rsidP="00EE7812">
      <w:pPr>
        <w:spacing w:after="0" w:line="240" w:lineRule="auto"/>
      </w:pPr>
      <w:r>
        <w:separator/>
      </w:r>
    </w:p>
  </w:footnote>
  <w:footnote w:type="continuationSeparator" w:id="0">
    <w:p w14:paraId="5635DD5F" w14:textId="77777777" w:rsidR="004C055E" w:rsidRDefault="004C05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54C72397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7728F2">
      <w:t>701</w:t>
    </w:r>
    <w:r>
      <w:t>,</w:t>
    </w:r>
    <w:r w:rsidR="00AD1603">
      <w:t xml:space="preserve"> </w:t>
    </w:r>
    <w:r w:rsidR="007A6CE5">
      <w:t>4</w:t>
    </w:r>
    <w:r w:rsidR="00A83BB9">
      <w:t xml:space="preserve"> de </w:t>
    </w:r>
    <w:r w:rsidR="00FC4A90">
      <w:t>jul</w:t>
    </w:r>
    <w:r w:rsidR="0077617D">
      <w:t>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4C055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05664">
    <w:abstractNumId w:val="0"/>
  </w:num>
  <w:num w:numId="2" w16cid:durableId="2023390948">
    <w:abstractNumId w:val="20"/>
  </w:num>
  <w:num w:numId="3" w16cid:durableId="987827250">
    <w:abstractNumId w:val="15"/>
  </w:num>
  <w:num w:numId="4" w16cid:durableId="579482161">
    <w:abstractNumId w:val="2"/>
  </w:num>
  <w:num w:numId="5" w16cid:durableId="293490204">
    <w:abstractNumId w:val="19"/>
  </w:num>
  <w:num w:numId="6" w16cid:durableId="1051616726">
    <w:abstractNumId w:val="34"/>
  </w:num>
  <w:num w:numId="7" w16cid:durableId="1316638993">
    <w:abstractNumId w:val="13"/>
  </w:num>
  <w:num w:numId="8" w16cid:durableId="1464731475">
    <w:abstractNumId w:val="32"/>
  </w:num>
  <w:num w:numId="9" w16cid:durableId="1232735123">
    <w:abstractNumId w:val="37"/>
  </w:num>
  <w:num w:numId="10" w16cid:durableId="799107274">
    <w:abstractNumId w:val="4"/>
  </w:num>
  <w:num w:numId="11" w16cid:durableId="1100680184">
    <w:abstractNumId w:val="6"/>
  </w:num>
  <w:num w:numId="12" w16cid:durableId="1457065469">
    <w:abstractNumId w:val="18"/>
  </w:num>
  <w:num w:numId="13" w16cid:durableId="2029869560">
    <w:abstractNumId w:val="21"/>
  </w:num>
  <w:num w:numId="14" w16cid:durableId="1950044216">
    <w:abstractNumId w:val="31"/>
  </w:num>
  <w:num w:numId="15" w16cid:durableId="1017274540">
    <w:abstractNumId w:val="9"/>
  </w:num>
  <w:num w:numId="16" w16cid:durableId="809909384">
    <w:abstractNumId w:val="7"/>
  </w:num>
  <w:num w:numId="17" w16cid:durableId="1490823362">
    <w:abstractNumId w:val="16"/>
  </w:num>
  <w:num w:numId="18" w16cid:durableId="2019498375">
    <w:abstractNumId w:val="30"/>
  </w:num>
  <w:num w:numId="19" w16cid:durableId="1149050789">
    <w:abstractNumId w:val="25"/>
  </w:num>
  <w:num w:numId="20" w16cid:durableId="6299633">
    <w:abstractNumId w:val="8"/>
  </w:num>
  <w:num w:numId="21" w16cid:durableId="1230573551">
    <w:abstractNumId w:val="26"/>
  </w:num>
  <w:num w:numId="22" w16cid:durableId="651375181">
    <w:abstractNumId w:val="27"/>
  </w:num>
  <w:num w:numId="23" w16cid:durableId="2031832801">
    <w:abstractNumId w:val="28"/>
  </w:num>
  <w:num w:numId="24" w16cid:durableId="1862163495">
    <w:abstractNumId w:val="33"/>
  </w:num>
  <w:num w:numId="25" w16cid:durableId="1890724467">
    <w:abstractNumId w:val="22"/>
  </w:num>
  <w:num w:numId="26" w16cid:durableId="1478449703">
    <w:abstractNumId w:val="14"/>
  </w:num>
  <w:num w:numId="27" w16cid:durableId="1499073902">
    <w:abstractNumId w:val="5"/>
  </w:num>
  <w:num w:numId="28" w16cid:durableId="1640109804">
    <w:abstractNumId w:val="23"/>
  </w:num>
  <w:num w:numId="29" w16cid:durableId="1958752649">
    <w:abstractNumId w:val="1"/>
  </w:num>
  <w:num w:numId="30" w16cid:durableId="1042905674">
    <w:abstractNumId w:val="24"/>
  </w:num>
  <w:num w:numId="31" w16cid:durableId="1777364159">
    <w:abstractNumId w:val="29"/>
  </w:num>
  <w:num w:numId="32" w16cid:durableId="1848254207">
    <w:abstractNumId w:val="12"/>
  </w:num>
  <w:num w:numId="33" w16cid:durableId="212929730">
    <w:abstractNumId w:val="17"/>
  </w:num>
  <w:num w:numId="34" w16cid:durableId="1072045701">
    <w:abstractNumId w:val="3"/>
  </w:num>
  <w:num w:numId="35" w16cid:durableId="146408203">
    <w:abstractNumId w:val="35"/>
  </w:num>
  <w:num w:numId="36" w16cid:durableId="640421613">
    <w:abstractNumId w:val="10"/>
  </w:num>
  <w:num w:numId="37" w16cid:durableId="1219243025">
    <w:abstractNumId w:val="11"/>
  </w:num>
  <w:num w:numId="38" w16cid:durableId="124666645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9A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2F1C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B77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E2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8CD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35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5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78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CE5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358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78A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5C6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718F-EBCA-427C-BDDA-711315D9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2022-07-03T21:43:00Z</dcterms:created>
  <dcterms:modified xsi:type="dcterms:W3CDTF">2022-07-03T21:43:00Z</dcterms:modified>
</cp:coreProperties>
</file>