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14" w:rsidRPr="00833714" w:rsidRDefault="00833714" w:rsidP="0083371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833714">
        <w:rPr>
          <w:position w:val="-9"/>
          <w:sz w:val="123"/>
        </w:rPr>
        <w:t>L</w:t>
      </w:r>
    </w:p>
    <w:p w:rsidR="009D4BEB" w:rsidRPr="009D4BEB" w:rsidRDefault="009D4BEB" w:rsidP="009D4BEB">
      <w:pPr>
        <w:rPr>
          <w:bCs/>
        </w:rPr>
      </w:pPr>
      <w:r w:rsidRPr="009D4BEB">
        <w:t xml:space="preserve">os artículos 3ro y 5to de la </w:t>
      </w:r>
      <w:hyperlink r:id="rId9" w:history="1">
        <w:r w:rsidRPr="00833714">
          <w:rPr>
            <w:rStyle w:val="Hyperlink"/>
          </w:rPr>
          <w:t>Ley 1314 de 2009</w:t>
        </w:r>
      </w:hyperlink>
      <w:r w:rsidRPr="009D4BEB">
        <w:t xml:space="preserve"> hacen referencia</w:t>
      </w:r>
      <w:r w:rsidR="002568A9">
        <w:t xml:space="preserve"> </w:t>
      </w:r>
      <w:r w:rsidRPr="009D4BEB">
        <w:t xml:space="preserve">a las normas de </w:t>
      </w:r>
      <w:r w:rsidRPr="009D4BEB">
        <w:rPr>
          <w:iCs/>
        </w:rPr>
        <w:t>contabilidad y de información financiera y de a</w:t>
      </w:r>
      <w:r w:rsidRPr="009D4BEB">
        <w:t>seguramiento de la información.</w:t>
      </w:r>
      <w:r w:rsidRPr="009D4BEB">
        <w:rPr>
          <w:iCs/>
        </w:rPr>
        <w:t xml:space="preserve"> </w:t>
      </w:r>
    </w:p>
    <w:p w:rsidR="009D4BEB" w:rsidRPr="00833714" w:rsidRDefault="009D4BEB" w:rsidP="009D4BEB">
      <w:r w:rsidRPr="00833714">
        <w:t xml:space="preserve">¿Cuáles son los </w:t>
      </w:r>
      <w:hyperlink r:id="rId10" w:history="1">
        <w:r w:rsidRPr="00833714">
          <w:rPr>
            <w:rStyle w:val="Hyperlink"/>
          </w:rPr>
          <w:t>Elementos de un trabajo de aseguramiento</w:t>
        </w:r>
      </w:hyperlink>
      <w:r w:rsidRPr="00833714">
        <w:t>?</w:t>
      </w:r>
    </w:p>
    <w:p w:rsidR="009D4BEB" w:rsidRPr="009D4BEB" w:rsidRDefault="009D4BEB" w:rsidP="00A44744">
      <w:pPr>
        <w:pStyle w:val="NoSpacing"/>
        <w:spacing w:line="276" w:lineRule="auto"/>
      </w:pPr>
      <w:r w:rsidRPr="009D4BEB">
        <w:t>a) Una relación entre tres partes: el Auditor Externo/Revisor Fiscal, la parte responsable o dueño del proceso y los usuarios de la información.</w:t>
      </w:r>
    </w:p>
    <w:p w:rsidR="009D4BEB" w:rsidRPr="009D4BEB" w:rsidRDefault="009D4BEB" w:rsidP="00A44744">
      <w:pPr>
        <w:pStyle w:val="NoSpacing"/>
        <w:spacing w:line="276" w:lineRule="auto"/>
      </w:pPr>
      <w:r w:rsidRPr="009D4BEB">
        <w:t>b) Asunto sobre el cual se realizará el trabajo.</w:t>
      </w:r>
    </w:p>
    <w:p w:rsidR="009D4BEB" w:rsidRPr="009D4BEB" w:rsidRDefault="009D4BEB" w:rsidP="00A44744">
      <w:pPr>
        <w:pStyle w:val="NoSpacing"/>
        <w:spacing w:line="276" w:lineRule="auto"/>
      </w:pPr>
      <w:r w:rsidRPr="009D4BEB">
        <w:t>c) Criterios adecuados.</w:t>
      </w:r>
    </w:p>
    <w:p w:rsidR="009D4BEB" w:rsidRPr="009D4BEB" w:rsidRDefault="009D4BEB" w:rsidP="00A44744">
      <w:pPr>
        <w:pStyle w:val="NoSpacing"/>
        <w:spacing w:line="276" w:lineRule="auto"/>
      </w:pPr>
      <w:r w:rsidRPr="009D4BEB">
        <w:t>d) Evidencia suficiente y adecuada.</w:t>
      </w:r>
    </w:p>
    <w:p w:rsidR="009D4BEB" w:rsidRPr="009D4BEB" w:rsidRDefault="009D4BEB" w:rsidP="00A44744">
      <w:r w:rsidRPr="009D4BEB">
        <w:t>e) Informe escrito acorde al trabajo desarrollado.</w:t>
      </w:r>
    </w:p>
    <w:p w:rsidR="009D4BEB" w:rsidRPr="009D4BEB" w:rsidRDefault="009D4BEB" w:rsidP="009D4BEB">
      <w:r w:rsidRPr="00833714">
        <w:t>Respecto de los criterios adecuados, son los</w:t>
      </w:r>
      <w:r w:rsidRPr="009D4BEB">
        <w:t xml:space="preserve"> puntos de referencia que se utilizan para evaluar o medir el asunto sobre el cual se realizará el trabajo, incluyendo, donde sea relevante, puntos de referencia para presentación y revelación:</w:t>
      </w:r>
    </w:p>
    <w:p w:rsidR="009D4BEB" w:rsidRPr="009D4BEB" w:rsidRDefault="009D4BEB" w:rsidP="00A44744">
      <w:pPr>
        <w:pStyle w:val="NoSpacing"/>
        <w:numPr>
          <w:ilvl w:val="0"/>
          <w:numId w:val="50"/>
        </w:numPr>
        <w:spacing w:line="276" w:lineRule="auto"/>
      </w:pPr>
      <w:r w:rsidRPr="009D4BEB">
        <w:t xml:space="preserve">Preparación de estados financieros, los criterios serían las Normas Internacionales de Información Financiera (NIIF-IFRS); </w:t>
      </w:r>
    </w:p>
    <w:p w:rsidR="009D4BEB" w:rsidRPr="001947AE" w:rsidRDefault="009D4BEB" w:rsidP="001947AE">
      <w:pPr>
        <w:pStyle w:val="ListParagraph"/>
        <w:numPr>
          <w:ilvl w:val="0"/>
          <w:numId w:val="50"/>
        </w:numPr>
      </w:pPr>
      <w:r w:rsidRPr="009D4BEB">
        <w:t>Informe sobre control interno, los criterios serían un marco conceptual de control interno, gestión del riesgo empresarial (ERM), GRC (</w:t>
      </w:r>
      <w:proofErr w:type="spellStart"/>
      <w:r w:rsidRPr="009D4BEB">
        <w:t>Governance</w:t>
      </w:r>
      <w:proofErr w:type="spellEnd"/>
      <w:r w:rsidRPr="009D4BEB">
        <w:t xml:space="preserve">, </w:t>
      </w:r>
      <w:proofErr w:type="spellStart"/>
      <w:r w:rsidRPr="009D4BEB">
        <w:t>Risk</w:t>
      </w:r>
      <w:proofErr w:type="spellEnd"/>
      <w:r w:rsidRPr="009D4BEB">
        <w:t xml:space="preserve"> &amp; </w:t>
      </w:r>
      <w:proofErr w:type="spellStart"/>
      <w:r w:rsidRPr="009D4BEB">
        <w:t>Compliance</w:t>
      </w:r>
      <w:proofErr w:type="spellEnd"/>
      <w:r w:rsidRPr="009D4BEB">
        <w:t xml:space="preserve">), </w:t>
      </w:r>
      <w:r w:rsidRPr="001947AE">
        <w:t>etc.</w:t>
      </w:r>
    </w:p>
    <w:p w:rsidR="009D4BEB" w:rsidRPr="009D4BEB" w:rsidRDefault="009D4BEB" w:rsidP="009D4BEB">
      <w:r w:rsidRPr="009D4BEB">
        <w:t xml:space="preserve">Los criterios necesitan estar disponibles para los usuarios de la información y permitirles entender cómo se ha evaluado o medido el </w:t>
      </w:r>
      <w:r w:rsidRPr="009D4BEB">
        <w:lastRenderedPageBreak/>
        <w:t>asunto</w:t>
      </w:r>
      <w:r w:rsidR="002568A9">
        <w:t xml:space="preserve"> </w:t>
      </w:r>
      <w:r w:rsidRPr="009D4BEB">
        <w:t>sobre el cual se realizó el trabajo.</w:t>
      </w:r>
      <w:r w:rsidR="002568A9">
        <w:t xml:space="preserve"> </w:t>
      </w:r>
      <w:r w:rsidRPr="009D4BEB">
        <w:t xml:space="preserve">Bajo los nuevos esquemas de procesos sistematizados, los registros contables se pueden originar desde cualquier área. Por ejemplo, el almacenista ya no utiliza un </w:t>
      </w:r>
      <w:proofErr w:type="spellStart"/>
      <w:r w:rsidRPr="009D4BEB">
        <w:t>kardex</w:t>
      </w:r>
      <w:proofErr w:type="spellEnd"/>
      <w:r w:rsidRPr="009D4BEB">
        <w:t xml:space="preserve"> manual, sino una aplicación, que afecta tanto el inventario y la cuenta de proveedores, como las retenciones en la fuente. Pero, ¿qué pasa si la entidad deja deteriorar los inventarios o los bienes que pertenecen al rubro de propiedad, planta y equipo? ¿Cómo se impactan los resultados financieros?</w:t>
      </w:r>
    </w:p>
    <w:p w:rsidR="009D4BEB" w:rsidRPr="009D4BEB" w:rsidRDefault="009D4BEB" w:rsidP="009D4BEB">
      <w:r w:rsidRPr="009D4BEB">
        <w:t>Recordemos que la responsabilidad del auditor externo/revisor fiscal es realizar una evaluación independiente, para dar una opinión o dictamen sobre la razonabilidad de los estados financieros.</w:t>
      </w:r>
    </w:p>
    <w:p w:rsidR="009D4BEB" w:rsidRPr="009D4BEB" w:rsidRDefault="009D4BEB" w:rsidP="009D4BEB">
      <w:pPr>
        <w:rPr>
          <w:lang w:val="es-ES"/>
        </w:rPr>
      </w:pPr>
      <w:r w:rsidRPr="009D4BEB">
        <w:t xml:space="preserve">Por lo anterior, </w:t>
      </w:r>
      <w:r w:rsidRPr="009D4BEB">
        <w:rPr>
          <w:lang w:val="es-ES"/>
        </w:rPr>
        <w:t>las personas responsables, o dueños de los procesos del negocio, deben evaluar</w:t>
      </w:r>
      <w:r w:rsidR="007A765C">
        <w:rPr>
          <w:lang w:val="es-ES"/>
        </w:rPr>
        <w:t xml:space="preserve"> qué</w:t>
      </w:r>
      <w:r w:rsidRPr="009D4BEB">
        <w:rPr>
          <w:lang w:val="es-ES"/>
        </w:rPr>
        <w:t xml:space="preserve"> tan adecuada es la gerencia de los</w:t>
      </w:r>
      <w:r w:rsidR="002568A9">
        <w:rPr>
          <w:lang w:val="es-ES"/>
        </w:rPr>
        <w:t xml:space="preserve"> </w:t>
      </w:r>
      <w:r w:rsidRPr="009D4BEB">
        <w:rPr>
          <w:lang w:val="es-ES"/>
        </w:rPr>
        <w:t>Objetivos,</w:t>
      </w:r>
      <w:r w:rsidR="002568A9">
        <w:rPr>
          <w:lang w:val="es-ES"/>
        </w:rPr>
        <w:t xml:space="preserve"> </w:t>
      </w:r>
      <w:r w:rsidRPr="009D4BEB">
        <w:rPr>
          <w:lang w:val="es-ES"/>
        </w:rPr>
        <w:t>Riesgos y Controles, de sus propios procesos, para tomar las acciones correctivas apropiadas, oportunamente.</w:t>
      </w:r>
    </w:p>
    <w:p w:rsidR="009D4BEB" w:rsidRPr="009D4BEB" w:rsidRDefault="009D4BEB" w:rsidP="009D4BEB">
      <w:pPr>
        <w:rPr>
          <w:lang w:val="es-ES"/>
        </w:rPr>
      </w:pPr>
      <w:r w:rsidRPr="009D4BEB">
        <w:rPr>
          <w:lang w:val="es-ES"/>
        </w:rPr>
        <w:t xml:space="preserve">En conclusión, la responsabilidad del aseguramiento de la información está a cargo de cada una de las personas que intervienen en los procesos de las entidades, cuyos resultados son evaluados independientemente por el auditor externo/revisor fiscal. Por lo tanto, la responsabilidad de conocer sobre las NIIF no es sólo de los contadores y evaluadores, sino de todas las personas que participan de una u otra forma en los procesos administrativos y contables, y a su vez, de los usuarios. </w:t>
      </w:r>
    </w:p>
    <w:p w:rsidR="00A623FC" w:rsidRPr="009D4BEB" w:rsidRDefault="009D4BEB" w:rsidP="009060E3">
      <w:pPr>
        <w:jc w:val="right"/>
      </w:pPr>
      <w:r w:rsidRPr="009D4BEB">
        <w:rPr>
          <w:i/>
        </w:rPr>
        <w:t xml:space="preserve">Paulino Angulo Cadena. </w:t>
      </w:r>
      <w:proofErr w:type="spellStart"/>
      <w:r w:rsidRPr="009D4BEB">
        <w:rPr>
          <w:i/>
        </w:rPr>
        <w:t>MSc</w:t>
      </w:r>
      <w:proofErr w:type="spellEnd"/>
      <w:r w:rsidRPr="009D4BEB">
        <w:rPr>
          <w:i/>
        </w:rPr>
        <w:t>, CIA</w:t>
      </w:r>
      <w:r w:rsidRPr="009D4BEB">
        <w:rPr>
          <w:b/>
          <w:bCs/>
          <w:lang w:val="es-MX"/>
        </w:rPr>
        <w:t>®,</w:t>
      </w:r>
      <w:r w:rsidRPr="009D4BEB">
        <w:rPr>
          <w:i/>
        </w:rPr>
        <w:t xml:space="preserve"> CRMA</w:t>
      </w:r>
    </w:p>
    <w:sectPr w:rsidR="00A623FC" w:rsidRPr="009D4BEB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91F" w:rsidRDefault="00A5591F" w:rsidP="00EE7812">
      <w:pPr>
        <w:spacing w:after="0" w:line="240" w:lineRule="auto"/>
      </w:pPr>
      <w:r>
        <w:separator/>
      </w:r>
    </w:p>
  </w:endnote>
  <w:endnote w:type="continuationSeparator" w:id="0">
    <w:p w:rsidR="00A5591F" w:rsidRDefault="00A5591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91F" w:rsidRDefault="00A5591F" w:rsidP="00EE7812">
      <w:pPr>
        <w:spacing w:after="0" w:line="240" w:lineRule="auto"/>
      </w:pPr>
      <w:r>
        <w:separator/>
      </w:r>
    </w:p>
  </w:footnote>
  <w:footnote w:type="continuationSeparator" w:id="0">
    <w:p w:rsidR="00A5591F" w:rsidRDefault="00A5591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1407C9">
      <w:t>681</w:t>
    </w:r>
    <w:r w:rsidR="00667D4D">
      <w:t>,</w:t>
    </w:r>
    <w:r w:rsidR="009D09BB">
      <w:t xml:space="preserve"> </w:t>
    </w:r>
    <w:r w:rsidR="00593C82">
      <w:t xml:space="preserve">abril </w:t>
    </w:r>
    <w:r w:rsidR="001F71E7">
      <w:t>22</w:t>
    </w:r>
    <w:r w:rsidR="0005771D">
      <w:t xml:space="preserve"> </w:t>
    </w:r>
    <w:r w:rsidR="0080786C">
      <w:t>de 201</w:t>
    </w:r>
    <w:r w:rsidR="00EB30A7">
      <w:t>3</w:t>
    </w:r>
  </w:p>
  <w:p w:rsidR="0046164F" w:rsidRDefault="00A5591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in;height:3in" o:bullet="t"/>
    </w:pict>
  </w:numPicBullet>
  <w:abstractNum w:abstractNumId="0">
    <w:nsid w:val="03C660DD"/>
    <w:multiLevelType w:val="hybridMultilevel"/>
    <w:tmpl w:val="98D6B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410648"/>
    <w:multiLevelType w:val="hybridMultilevel"/>
    <w:tmpl w:val="0F8E12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6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F43D42"/>
    <w:multiLevelType w:val="hybridMultilevel"/>
    <w:tmpl w:val="A970BF12"/>
    <w:lvl w:ilvl="0" w:tplc="9DE01B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1FDA6B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62E4C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0242F00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64046BF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98BC027C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CC602DC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50D2FD3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E21CC79E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ECB0EC1"/>
    <w:multiLevelType w:val="hybridMultilevel"/>
    <w:tmpl w:val="8E20E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4F3DD8"/>
    <w:multiLevelType w:val="hybridMultilevel"/>
    <w:tmpl w:val="FDBE07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6"/>
  </w:num>
  <w:num w:numId="3">
    <w:abstractNumId w:val="4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2"/>
  </w:num>
  <w:num w:numId="7">
    <w:abstractNumId w:val="43"/>
  </w:num>
  <w:num w:numId="8">
    <w:abstractNumId w:val="19"/>
  </w:num>
  <w:num w:numId="9">
    <w:abstractNumId w:val="7"/>
  </w:num>
  <w:num w:numId="10">
    <w:abstractNumId w:val="27"/>
  </w:num>
  <w:num w:numId="11">
    <w:abstractNumId w:val="32"/>
  </w:num>
  <w:num w:numId="12">
    <w:abstractNumId w:val="2"/>
  </w:num>
  <w:num w:numId="13">
    <w:abstractNumId w:val="11"/>
  </w:num>
  <w:num w:numId="14">
    <w:abstractNumId w:val="13"/>
  </w:num>
  <w:num w:numId="15">
    <w:abstractNumId w:val="26"/>
  </w:num>
  <w:num w:numId="16">
    <w:abstractNumId w:val="9"/>
  </w:num>
  <w:num w:numId="17">
    <w:abstractNumId w:val="6"/>
  </w:num>
  <w:num w:numId="18">
    <w:abstractNumId w:val="39"/>
  </w:num>
  <w:num w:numId="19">
    <w:abstractNumId w:val="15"/>
  </w:num>
  <w:num w:numId="20">
    <w:abstractNumId w:val="23"/>
  </w:num>
  <w:num w:numId="21">
    <w:abstractNumId w:val="21"/>
  </w:num>
  <w:num w:numId="22">
    <w:abstractNumId w:val="4"/>
  </w:num>
  <w:num w:numId="23">
    <w:abstractNumId w:val="22"/>
  </w:num>
  <w:num w:numId="24">
    <w:abstractNumId w:val="28"/>
  </w:num>
  <w:num w:numId="25">
    <w:abstractNumId w:val="3"/>
  </w:num>
  <w:num w:numId="26">
    <w:abstractNumId w:val="18"/>
  </w:num>
  <w:num w:numId="27">
    <w:abstractNumId w:val="34"/>
  </w:num>
  <w:num w:numId="28">
    <w:abstractNumId w:val="35"/>
  </w:num>
  <w:num w:numId="29">
    <w:abstractNumId w:val="33"/>
  </w:num>
  <w:num w:numId="30">
    <w:abstractNumId w:val="37"/>
  </w:num>
  <w:num w:numId="31">
    <w:abstractNumId w:val="5"/>
  </w:num>
  <w:num w:numId="32">
    <w:abstractNumId w:val="44"/>
  </w:num>
  <w:num w:numId="33">
    <w:abstractNumId w:val="12"/>
  </w:num>
  <w:num w:numId="34">
    <w:abstractNumId w:val="46"/>
  </w:num>
  <w:num w:numId="35">
    <w:abstractNumId w:val="25"/>
  </w:num>
  <w:num w:numId="36">
    <w:abstractNumId w:val="24"/>
  </w:num>
  <w:num w:numId="37">
    <w:abstractNumId w:val="29"/>
  </w:num>
  <w:num w:numId="38">
    <w:abstractNumId w:val="10"/>
  </w:num>
  <w:num w:numId="39">
    <w:abstractNumId w:val="14"/>
  </w:num>
  <w:num w:numId="40">
    <w:abstractNumId w:val="1"/>
  </w:num>
  <w:num w:numId="41">
    <w:abstractNumId w:val="36"/>
  </w:num>
  <w:num w:numId="42">
    <w:abstractNumId w:val="45"/>
  </w:num>
  <w:num w:numId="43">
    <w:abstractNumId w:val="20"/>
  </w:num>
  <w:num w:numId="44">
    <w:abstractNumId w:val="31"/>
  </w:num>
  <w:num w:numId="45">
    <w:abstractNumId w:val="30"/>
  </w:num>
  <w:num w:numId="46">
    <w:abstractNumId w:val="47"/>
  </w:num>
  <w:num w:numId="47">
    <w:abstractNumId w:val="0"/>
  </w:num>
  <w:num w:numId="48">
    <w:abstractNumId w:val="48"/>
  </w:num>
  <w:num w:numId="49">
    <w:abstractNumId w:val="38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3130"/>
    <w:rsid w:val="000433A3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9"/>
    <w:rsid w:val="00066A6D"/>
    <w:rsid w:val="00066D70"/>
    <w:rsid w:val="00067385"/>
    <w:rsid w:val="000674C3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9F3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7C9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5A58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1E7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27EB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52D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4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0E1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83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1A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E9E"/>
    <w:rsid w:val="00454EE8"/>
    <w:rsid w:val="004550F0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A45"/>
    <w:rsid w:val="00467486"/>
    <w:rsid w:val="0046787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720F"/>
    <w:rsid w:val="004D7733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DF4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36"/>
    <w:rsid w:val="00586191"/>
    <w:rsid w:val="005861CE"/>
    <w:rsid w:val="00586476"/>
    <w:rsid w:val="00586699"/>
    <w:rsid w:val="00586958"/>
    <w:rsid w:val="00586F30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C3E"/>
    <w:rsid w:val="005D0DF3"/>
    <w:rsid w:val="005D0F96"/>
    <w:rsid w:val="005D1630"/>
    <w:rsid w:val="005D1D2A"/>
    <w:rsid w:val="005D1D72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539"/>
    <w:rsid w:val="005E25D4"/>
    <w:rsid w:val="005E27E6"/>
    <w:rsid w:val="005E2A22"/>
    <w:rsid w:val="005E3649"/>
    <w:rsid w:val="005E3E7D"/>
    <w:rsid w:val="005E3EB1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6EDB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728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2A6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A97"/>
    <w:rsid w:val="007D1421"/>
    <w:rsid w:val="007D1443"/>
    <w:rsid w:val="007D1745"/>
    <w:rsid w:val="007D1A75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0FCB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701"/>
    <w:rsid w:val="00832A31"/>
    <w:rsid w:val="008330E4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6D1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7D8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64"/>
    <w:rsid w:val="00970CA6"/>
    <w:rsid w:val="00971244"/>
    <w:rsid w:val="00971579"/>
    <w:rsid w:val="00971B2D"/>
    <w:rsid w:val="0097297D"/>
    <w:rsid w:val="00972A19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7BF"/>
    <w:rsid w:val="0097482D"/>
    <w:rsid w:val="0097508E"/>
    <w:rsid w:val="00975421"/>
    <w:rsid w:val="009754F0"/>
    <w:rsid w:val="00975C5E"/>
    <w:rsid w:val="00975F58"/>
    <w:rsid w:val="0097614D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133B"/>
    <w:rsid w:val="009F14A9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0B3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3E5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1F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7D0"/>
    <w:rsid w:val="00A60903"/>
    <w:rsid w:val="00A60C9A"/>
    <w:rsid w:val="00A60EFC"/>
    <w:rsid w:val="00A6122B"/>
    <w:rsid w:val="00A612C3"/>
    <w:rsid w:val="00A613F8"/>
    <w:rsid w:val="00A61513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3047"/>
    <w:rsid w:val="00A63271"/>
    <w:rsid w:val="00A638EE"/>
    <w:rsid w:val="00A63CA0"/>
    <w:rsid w:val="00A63F37"/>
    <w:rsid w:val="00A63F96"/>
    <w:rsid w:val="00A643B4"/>
    <w:rsid w:val="00A64967"/>
    <w:rsid w:val="00A64A57"/>
    <w:rsid w:val="00A64CF6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8C"/>
    <w:rsid w:val="00A92B95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3AF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5F56"/>
    <w:rsid w:val="00B3616F"/>
    <w:rsid w:val="00B3684F"/>
    <w:rsid w:val="00B373EC"/>
    <w:rsid w:val="00B373FC"/>
    <w:rsid w:val="00B379C4"/>
    <w:rsid w:val="00B37ACE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77A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443"/>
    <w:rsid w:val="00C41792"/>
    <w:rsid w:val="00C4181B"/>
    <w:rsid w:val="00C41D9F"/>
    <w:rsid w:val="00C4223A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424"/>
    <w:rsid w:val="00C747D4"/>
    <w:rsid w:val="00C748E8"/>
    <w:rsid w:val="00C74A56"/>
    <w:rsid w:val="00C74B1D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4E2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07917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FF"/>
    <w:rsid w:val="00D20100"/>
    <w:rsid w:val="00D20559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895"/>
    <w:rsid w:val="00D41969"/>
    <w:rsid w:val="00D41DDF"/>
    <w:rsid w:val="00D41EBF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B09"/>
    <w:rsid w:val="00D62FA2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2179"/>
    <w:rsid w:val="00D82548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BA8"/>
    <w:rsid w:val="00E36C6B"/>
    <w:rsid w:val="00E37616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506E"/>
    <w:rsid w:val="00ED5276"/>
    <w:rsid w:val="00ED52FA"/>
    <w:rsid w:val="00ED5323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cpm.org.mx/avisos/AnexoFolio5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(do)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14268-9117-4D0C-8BCB-D34D9293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438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cp:lastPrinted>2011-08-23T16:28:00Z</cp:lastPrinted>
  <dcterms:created xsi:type="dcterms:W3CDTF">2013-04-21T22:29:00Z</dcterms:created>
  <dcterms:modified xsi:type="dcterms:W3CDTF">2013-04-21T22:40:00Z</dcterms:modified>
</cp:coreProperties>
</file>