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04AB" w14:textId="5973EA8C" w:rsidR="007403CE" w:rsidRPr="007403CE" w:rsidRDefault="007403CE" w:rsidP="007403CE">
      <w:pPr>
        <w:keepNext/>
        <w:framePr w:dropCap="drop" w:lines="3" w:wrap="around" w:vAnchor="text" w:hAnchor="text"/>
        <w:spacing w:after="0" w:line="926" w:lineRule="exact"/>
        <w:textAlignment w:val="baseline"/>
        <w:rPr>
          <w:position w:val="-9"/>
          <w:sz w:val="123"/>
        </w:rPr>
      </w:pPr>
      <w:r w:rsidRPr="007403CE">
        <w:rPr>
          <w:position w:val="-9"/>
          <w:sz w:val="123"/>
        </w:rPr>
        <w:t>D</w:t>
      </w:r>
    </w:p>
    <w:p w14:paraId="5716AFDE" w14:textId="207760F3" w:rsidR="002505E1" w:rsidRDefault="007403CE" w:rsidP="007403CE">
      <w:r>
        <w:t xml:space="preserve">e acuerdo con el </w:t>
      </w:r>
      <w:hyperlink r:id="rId8" w:history="1">
        <w:r w:rsidRPr="007403CE">
          <w:rPr>
            <w:rStyle w:val="Hyperlink"/>
          </w:rPr>
          <w:t>Código de Procedimiento Administrativo y de lo Contencioso Administrativo</w:t>
        </w:r>
      </w:hyperlink>
      <w:r>
        <w:t xml:space="preserve"> (artículo 9, principios) “</w:t>
      </w:r>
      <w:r w:rsidRPr="007403CE">
        <w:rPr>
          <w:i/>
          <w:iCs/>
        </w:rPr>
        <w:t xml:space="preserve">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w:t>
      </w:r>
      <w:proofErr w:type="gramStart"/>
      <w:r w:rsidRPr="007403CE">
        <w:rPr>
          <w:i/>
          <w:iCs/>
        </w:rPr>
        <w:t>la misma</w:t>
      </w:r>
      <w:proofErr w:type="gramEnd"/>
      <w:r w:rsidRPr="007403CE">
        <w:t>.</w:t>
      </w:r>
      <w:r>
        <w:t xml:space="preserve">” </w:t>
      </w:r>
      <w:r w:rsidR="002505E1">
        <w:t>Añádase que según el mismo código “</w:t>
      </w:r>
      <w:r w:rsidR="002505E1" w:rsidRPr="002505E1">
        <w:rPr>
          <w:i/>
          <w:iCs/>
        </w:rPr>
        <w:t xml:space="preserve">Cuando más de diez (10) personas formulen peticiones análogas, de información, de interés general o de consulta, la Administración podrá dar una única respuesta que publicará en un diario de amplia circulación, la pondrá en su página web y entregará copias de </w:t>
      </w:r>
      <w:proofErr w:type="gramStart"/>
      <w:r w:rsidR="002505E1" w:rsidRPr="002505E1">
        <w:rPr>
          <w:i/>
          <w:iCs/>
        </w:rPr>
        <w:t>la misma</w:t>
      </w:r>
      <w:proofErr w:type="gramEnd"/>
      <w:r w:rsidR="002505E1" w:rsidRPr="002505E1">
        <w:rPr>
          <w:i/>
          <w:iCs/>
        </w:rPr>
        <w:t xml:space="preserve"> a quienes las soliciten</w:t>
      </w:r>
      <w:r w:rsidR="002505E1" w:rsidRPr="002505E1">
        <w:t>.</w:t>
      </w:r>
      <w:r w:rsidR="002505E1">
        <w:t>”</w:t>
      </w:r>
      <w:r w:rsidR="00C12C2D">
        <w:t xml:space="preserve"> Ahora bien, de acuerdo con la </w:t>
      </w:r>
      <w:hyperlink r:id="rId9" w:history="1">
        <w:r w:rsidR="00C12C2D" w:rsidRPr="00C12C2D">
          <w:rPr>
            <w:rStyle w:val="Hyperlink"/>
          </w:rPr>
          <w:t>Ley 1712 de 2014</w:t>
        </w:r>
      </w:hyperlink>
      <w:r w:rsidR="00C12C2D">
        <w:t>, “</w:t>
      </w:r>
      <w:r w:rsidR="00C12C2D" w:rsidRPr="00C12C2D">
        <w:rPr>
          <w:i/>
          <w:iCs/>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00C12C2D">
        <w:t>” “</w:t>
      </w:r>
      <w:r w:rsidR="00C12C2D" w:rsidRPr="00C12C2D">
        <w:rPr>
          <w:i/>
          <w:iCs/>
        </w:rPr>
        <w:t xml:space="preserve">El derecho de acceso a la información genera la </w:t>
      </w:r>
      <w:r w:rsidR="00C12C2D" w:rsidRPr="00C12C2D">
        <w:rPr>
          <w:i/>
          <w:iCs/>
        </w:rPr>
        <w:t>obligación correlativa de divulgar proactivamente la información pública y responder de buena fe, de manera adecuada, veraz, oportuna y accesible a las solicitudes de acceso, lo que a su vez conlleva la obligación de producir o capturar la información pública. Para cumplir lo anterior los sujetos obligados deberán implementar procedimientos archivísticos que garanticen la disponibilidad en el tiempo de documentos electrónicos auténticos</w:t>
      </w:r>
      <w:r w:rsidR="00C12C2D" w:rsidRPr="00C12C2D">
        <w:t>.</w:t>
      </w:r>
      <w:r w:rsidR="00C12C2D">
        <w:t>”</w:t>
      </w:r>
      <w:r w:rsidR="007F085F">
        <w:t xml:space="preserve"> “</w:t>
      </w:r>
      <w:r w:rsidR="007F085F" w:rsidRPr="007F085F">
        <w:rPr>
          <w:i/>
          <w:iCs/>
        </w:rPr>
        <w:t>Publicar o divulgar. Significa poner a disposición en una forma de acceso general a los miembros del público e incluye la impresión, emisión y las formas electrónicas de difusión;</w:t>
      </w:r>
      <w:r w:rsidR="007F085F">
        <w:t>” “</w:t>
      </w:r>
      <w:r w:rsidR="007F085F" w:rsidRPr="007F085F">
        <w:rPr>
          <w:i/>
          <w:iCs/>
        </w:rPr>
        <w:t>Artículo 7°. Disponibilidad de la Información. En virtud de los principios señalados, deberá estar a disposición del público la información a la que hace referencia la presente ley, a través de medios físicos, remotos o locales de comunicación electrónica. Los sujetos obligados deberán tener a disposición de las personas interesadas dicha información en la Web, a fin de que estas puedan obtener la información, de manera directa o mediante impresiones. Asimismo, estos deberán proporcionar apoyo a los usuarios que lo requieran y proveer todo tipo de asistencia respecto de los trámites y servicios que presten.</w:t>
      </w:r>
      <w:r w:rsidR="007F085F">
        <w:t>” Se podría seguir enunciando normas sobre la publicidad de las manifestaciones de las autoridades, pero lo anterior es suficiente para sostener que el CTCP tiene claras y precisas obligaciones de publicidad, que de no cumplirse provocarían la pérdida de valor de sus manifestaciones-No tiene ningún sentido una actividad doctrinal de difícil o imposible acceso.</w:t>
      </w:r>
    </w:p>
    <w:p w14:paraId="1ECF06E6" w14:textId="32BAEB84" w:rsidR="007F085F" w:rsidRPr="00EF36E7" w:rsidRDefault="007F085F" w:rsidP="007F085F">
      <w:pPr>
        <w:jc w:val="right"/>
      </w:pPr>
      <w:r w:rsidRPr="003C4ED4">
        <w:rPr>
          <w:i/>
          <w:iCs/>
        </w:rPr>
        <w:t>Hernando Bermúdez Gómez</w:t>
      </w:r>
    </w:p>
    <w:sectPr w:rsidR="007F085F" w:rsidRPr="00EF36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876BB" w14:textId="77777777" w:rsidR="007225FB" w:rsidRDefault="007225FB" w:rsidP="00EE7812">
      <w:pPr>
        <w:spacing w:after="0" w:line="240" w:lineRule="auto"/>
      </w:pPr>
      <w:r>
        <w:separator/>
      </w:r>
    </w:p>
  </w:endnote>
  <w:endnote w:type="continuationSeparator" w:id="0">
    <w:p w14:paraId="67573C45" w14:textId="77777777" w:rsidR="007225FB" w:rsidRDefault="007225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B40F" w14:textId="77777777" w:rsidR="007225FB" w:rsidRDefault="007225FB" w:rsidP="00EE7812">
      <w:pPr>
        <w:spacing w:after="0" w:line="240" w:lineRule="auto"/>
      </w:pPr>
      <w:r>
        <w:separator/>
      </w:r>
    </w:p>
  </w:footnote>
  <w:footnote w:type="continuationSeparator" w:id="0">
    <w:p w14:paraId="1E61C06E" w14:textId="77777777" w:rsidR="007225FB" w:rsidRDefault="007225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3EF82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812</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225F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0517870">
    <w:abstractNumId w:val="0"/>
  </w:num>
  <w:num w:numId="2" w16cid:durableId="1164274296">
    <w:abstractNumId w:val="20"/>
  </w:num>
  <w:num w:numId="3" w16cid:durableId="1039940657">
    <w:abstractNumId w:val="15"/>
  </w:num>
  <w:num w:numId="4" w16cid:durableId="632056287">
    <w:abstractNumId w:val="2"/>
  </w:num>
  <w:num w:numId="5" w16cid:durableId="433137148">
    <w:abstractNumId w:val="19"/>
  </w:num>
  <w:num w:numId="6" w16cid:durableId="1639259701">
    <w:abstractNumId w:val="34"/>
  </w:num>
  <w:num w:numId="7" w16cid:durableId="1532375170">
    <w:abstractNumId w:val="13"/>
  </w:num>
  <w:num w:numId="8" w16cid:durableId="899829234">
    <w:abstractNumId w:val="32"/>
  </w:num>
  <w:num w:numId="9" w16cid:durableId="694964517">
    <w:abstractNumId w:val="37"/>
  </w:num>
  <w:num w:numId="10" w16cid:durableId="1079909209">
    <w:abstractNumId w:val="4"/>
  </w:num>
  <w:num w:numId="11" w16cid:durableId="1641226347">
    <w:abstractNumId w:val="6"/>
  </w:num>
  <w:num w:numId="12" w16cid:durableId="2037731851">
    <w:abstractNumId w:val="18"/>
  </w:num>
  <w:num w:numId="13" w16cid:durableId="2126846604">
    <w:abstractNumId w:val="21"/>
  </w:num>
  <w:num w:numId="14" w16cid:durableId="1606111843">
    <w:abstractNumId w:val="31"/>
  </w:num>
  <w:num w:numId="15" w16cid:durableId="1977833490">
    <w:abstractNumId w:val="9"/>
  </w:num>
  <w:num w:numId="16" w16cid:durableId="1550536903">
    <w:abstractNumId w:val="7"/>
  </w:num>
  <w:num w:numId="17" w16cid:durableId="1732923372">
    <w:abstractNumId w:val="16"/>
  </w:num>
  <w:num w:numId="18" w16cid:durableId="371346391">
    <w:abstractNumId w:val="30"/>
  </w:num>
  <w:num w:numId="19" w16cid:durableId="2027518022">
    <w:abstractNumId w:val="25"/>
  </w:num>
  <w:num w:numId="20" w16cid:durableId="268513259">
    <w:abstractNumId w:val="8"/>
  </w:num>
  <w:num w:numId="21" w16cid:durableId="1405107273">
    <w:abstractNumId w:val="26"/>
  </w:num>
  <w:num w:numId="22" w16cid:durableId="1864171987">
    <w:abstractNumId w:val="27"/>
  </w:num>
  <w:num w:numId="23" w16cid:durableId="1499930044">
    <w:abstractNumId w:val="28"/>
  </w:num>
  <w:num w:numId="24" w16cid:durableId="1071000257">
    <w:abstractNumId w:val="33"/>
  </w:num>
  <w:num w:numId="25" w16cid:durableId="1002320305">
    <w:abstractNumId w:val="22"/>
  </w:num>
  <w:num w:numId="26" w16cid:durableId="1754280774">
    <w:abstractNumId w:val="14"/>
  </w:num>
  <w:num w:numId="27" w16cid:durableId="902594293">
    <w:abstractNumId w:val="5"/>
  </w:num>
  <w:num w:numId="28" w16cid:durableId="1371029935">
    <w:abstractNumId w:val="23"/>
  </w:num>
  <w:num w:numId="29" w16cid:durableId="1299188542">
    <w:abstractNumId w:val="1"/>
  </w:num>
  <w:num w:numId="30" w16cid:durableId="542598392">
    <w:abstractNumId w:val="24"/>
  </w:num>
  <w:num w:numId="31" w16cid:durableId="538247502">
    <w:abstractNumId w:val="29"/>
  </w:num>
  <w:num w:numId="32" w16cid:durableId="590310247">
    <w:abstractNumId w:val="12"/>
  </w:num>
  <w:num w:numId="33" w16cid:durableId="983386528">
    <w:abstractNumId w:val="17"/>
  </w:num>
  <w:num w:numId="34" w16cid:durableId="1666280507">
    <w:abstractNumId w:val="3"/>
  </w:num>
  <w:num w:numId="35" w16cid:durableId="942687070">
    <w:abstractNumId w:val="35"/>
  </w:num>
  <w:num w:numId="36" w16cid:durableId="2135707533">
    <w:abstractNumId w:val="10"/>
  </w:num>
  <w:num w:numId="37" w16cid:durableId="624388877">
    <w:abstractNumId w:val="11"/>
  </w:num>
  <w:num w:numId="38" w16cid:durableId="6552319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412"/>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B"/>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3A7"/>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styleId="UnresolvedMention">
    <w:name w:val="Unresolved Mention"/>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01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87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35CE-35C9-4665-8027-0FF084D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2022-08-27T20:46:00Z</dcterms:created>
  <dcterms:modified xsi:type="dcterms:W3CDTF">2022-08-27T20:46:00Z</dcterms:modified>
</cp:coreProperties>
</file>