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FCA" w:rsidRPr="00A67FCA" w:rsidRDefault="00A67FCA" w:rsidP="00A67FCA">
      <w:pPr>
        <w:keepNext/>
        <w:framePr w:dropCap="drop" w:lines="3" w:wrap="around" w:vAnchor="text" w:hAnchor="text"/>
        <w:spacing w:after="0" w:line="926" w:lineRule="exact"/>
        <w:textAlignment w:val="baseline"/>
        <w:rPr>
          <w:position w:val="-9"/>
          <w:sz w:val="123"/>
        </w:rPr>
      </w:pPr>
      <w:r w:rsidRPr="00A67FCA">
        <w:rPr>
          <w:position w:val="-9"/>
          <w:sz w:val="123"/>
        </w:rPr>
        <w:t>E</w:t>
      </w:r>
    </w:p>
    <w:p w:rsidR="00855D27" w:rsidRPr="00855D27" w:rsidRDefault="00855D27" w:rsidP="00855D27">
      <w:r w:rsidRPr="00855D27">
        <w:t xml:space="preserve">s a través de los procesos de diagnóstico que es posible establecer el estado real de determinada situación, tal y como lo define Vidal </w:t>
      </w:r>
      <w:proofErr w:type="spellStart"/>
      <w:r w:rsidRPr="00855D27">
        <w:t>Arizabaleta</w:t>
      </w:r>
      <w:proofErr w:type="spellEnd"/>
      <w:r w:rsidRPr="00855D27">
        <w:t xml:space="preserve"> (2004); es posible efectuar diagnósticos sobre todos los procesos de la organización; la </w:t>
      </w:r>
      <w:r w:rsidR="00C74C18">
        <w:t>eficiencia de las prácticas de recursos humanos y nómina</w:t>
      </w:r>
      <w:r w:rsidR="0083266A">
        <w:t>,</w:t>
      </w:r>
      <w:r w:rsidR="00C74C18">
        <w:t xml:space="preserve"> la oportunidad de las políticas c</w:t>
      </w:r>
      <w:r w:rsidRPr="00855D27">
        <w:t xml:space="preserve">ontables, son solo algunos ejemplos de lo que se podría llegar a medir dentro de las empresas; finalmente, otro asunto de gran importancia el cual es necesario </w:t>
      </w:r>
      <w:r w:rsidR="0083266A">
        <w:t>que sea</w:t>
      </w:r>
      <w:r w:rsidRPr="00855D27">
        <w:t xml:space="preserve"> objeto de</w:t>
      </w:r>
      <w:r w:rsidR="0083266A">
        <w:t xml:space="preserve"> análisis son las prácticas de gobierno c</w:t>
      </w:r>
      <w:r w:rsidRPr="00855D27">
        <w:t>orporativo.</w:t>
      </w:r>
    </w:p>
    <w:p w:rsidR="00855D27" w:rsidRPr="00855D27" w:rsidRDefault="005D28B3" w:rsidP="00855D27">
      <w:r>
        <w:t>L</w:t>
      </w:r>
      <w:r w:rsidR="00855D27" w:rsidRPr="00855D27">
        <w:t xml:space="preserve">a Superintendencia de Sociedades, tal como lo </w:t>
      </w:r>
      <w:hyperlink r:id="rId9" w:history="1">
        <w:r w:rsidR="00855D27" w:rsidRPr="004559E4">
          <w:rPr>
            <w:rStyle w:val="Hyperlink"/>
          </w:rPr>
          <w:t>explicó</w:t>
        </w:r>
      </w:hyperlink>
      <w:r w:rsidR="00855D27" w:rsidRPr="00855D27">
        <w:t xml:space="preserve"> el Superintendente, el </w:t>
      </w:r>
      <w:r>
        <w:t>doctor</w:t>
      </w:r>
      <w:r w:rsidR="00855D27" w:rsidRPr="00855D27">
        <w:t xml:space="preserve"> Luis Guillermo Vélez el pasado 20 de marzo de 2013, “solicita a las empresas un informe de Prácticas Empresariales que permite generar un diagnóstico del estado actual de las</w:t>
      </w:r>
      <w:r w:rsidR="00763E1D">
        <w:t xml:space="preserve"> prácticas relacionadas con el gobierno c</w:t>
      </w:r>
      <w:r w:rsidR="00855D27" w:rsidRPr="00855D27">
        <w:t>orporativo y la responsabilidad social y establecer la forma en que son gobernadas las empresas colombianas con el fin de entregar a los empresarios herramientas que les permitan aumentar su sostenibilidad mediante la cultura del desarrollo competitivo, con la adopción de prácticas de Responsabilidad Social, Buen Gobierno Corporativo y Protocolos de Familia”.</w:t>
      </w:r>
    </w:p>
    <w:p w:rsidR="00855D27" w:rsidRPr="00855D27" w:rsidRDefault="00763E1D" w:rsidP="00855D27">
      <w:r>
        <w:t>Un diagnóstico de gobierno c</w:t>
      </w:r>
      <w:r w:rsidR="00855D27" w:rsidRPr="00855D27">
        <w:t>orporativo representa el profundo compromiso para introducir elementos de competitividad internacional a las empresas colombianas; esta actividad es una herramienta gerencial e instrumento de competitividad indispensable para la introducción de las sociedades colombianas en los procesos globalización.</w:t>
      </w:r>
    </w:p>
    <w:p w:rsidR="00855D27" w:rsidRPr="00855D27" w:rsidRDefault="00855D27" w:rsidP="00855D27">
      <w:r w:rsidRPr="00855D27">
        <w:lastRenderedPageBreak/>
        <w:t xml:space="preserve">Los resultados obtenidos de la encuesta que lanzó la Superintendencia de Sociedades en el año 2008 han sido capitalizados, para la promulgación de documentos como </w:t>
      </w:r>
      <w:hyperlink r:id="rId10" w:history="1">
        <w:r w:rsidRPr="00855D27">
          <w:rPr>
            <w:rStyle w:val="Hyperlink"/>
          </w:rPr>
          <w:t>“La Guía Colo</w:t>
        </w:r>
        <w:r w:rsidRPr="00855D27">
          <w:rPr>
            <w:rStyle w:val="Hyperlink"/>
          </w:rPr>
          <w:t>m</w:t>
        </w:r>
        <w:r w:rsidRPr="00855D27">
          <w:rPr>
            <w:rStyle w:val="Hyperlink"/>
          </w:rPr>
          <w:t>biana para empresas de Gobierno Corporativo cerradas y de familia”</w:t>
        </w:r>
      </w:hyperlink>
      <w:r w:rsidR="00763E1D">
        <w:t xml:space="preserve">, </w:t>
      </w:r>
      <w:r w:rsidRPr="00855D27">
        <w:t>promulgado por la Superintendencia de Sociedad</w:t>
      </w:r>
      <w:r w:rsidR="00763E1D">
        <w:t xml:space="preserve">es, </w:t>
      </w:r>
      <w:proofErr w:type="spellStart"/>
      <w:r w:rsidR="00763E1D">
        <w:t>Confecá</w:t>
      </w:r>
      <w:r w:rsidRPr="00855D27">
        <w:t>maras</w:t>
      </w:r>
      <w:proofErr w:type="spellEnd"/>
      <w:r w:rsidRPr="00855D27">
        <w:t xml:space="preserve"> y la Cámara de Comercio de Bogotá (2009).</w:t>
      </w:r>
    </w:p>
    <w:p w:rsidR="00855D27" w:rsidRPr="00855D27" w:rsidRDefault="00855D27" w:rsidP="00855D27">
      <w:r w:rsidRPr="00855D27">
        <w:t>Esta guía provee a las sociedades cerradas y de familia de 36 medidas o acciones de mejora, relacionadas con: 1. Control de Gestión, 2.</w:t>
      </w:r>
      <w:r w:rsidR="00C74C18">
        <w:t xml:space="preserve"> </w:t>
      </w:r>
      <w:r w:rsidRPr="00855D27">
        <w:t xml:space="preserve">Máximo Órgano Social, 3. Administradores, 4. Revelación de información, 5. Sociedades de familia. </w:t>
      </w:r>
    </w:p>
    <w:p w:rsidR="00855D27" w:rsidRPr="00855D27" w:rsidRDefault="00855D27" w:rsidP="00855D27">
      <w:r w:rsidRPr="00855D27">
        <w:t xml:space="preserve">Por otro lado, está el </w:t>
      </w:r>
      <w:hyperlink r:id="rId11" w:history="1">
        <w:r w:rsidRPr="00A6169B">
          <w:rPr>
            <w:rStyle w:val="Hyperlink"/>
          </w:rPr>
          <w:t>libro</w:t>
        </w:r>
      </w:hyperlink>
      <w:r w:rsidRPr="00855D27">
        <w:t xml:space="preserve"> “Hacia la implementación de buenas prácticas de Gobierno Corporativo en sociedades cerradas”</w:t>
      </w:r>
      <w:r w:rsidR="00C74C18">
        <w:t xml:space="preserve"> </w:t>
      </w:r>
      <w:r w:rsidRPr="00855D27">
        <w:t>publicado por el CESA (20</w:t>
      </w:r>
      <w:r w:rsidR="00A6169B">
        <w:t>12); en el cual se exponen las g</w:t>
      </w:r>
      <w:r w:rsidRPr="00855D27">
        <w:t>eneralidades del GC en las empresas familiares, sugerencias para las empresas familiares y se dan ejemplos de las empresas colombianas que son líderes en esta materia.</w:t>
      </w:r>
    </w:p>
    <w:p w:rsidR="00855D27" w:rsidRPr="00855D27" w:rsidRDefault="00A6169B" w:rsidP="00855D27">
      <w:r>
        <w:t>P</w:t>
      </w:r>
      <w:bookmarkStart w:id="0" w:name="_GoBack"/>
      <w:bookmarkEnd w:id="0"/>
      <w:r w:rsidR="00855D27" w:rsidRPr="00855D27">
        <w:t xml:space="preserve">arte de la concientización que se debe tener por parte de las empresas colombianas, inicia en el diagnóstico de sus prácticas actuales, en el reconocimiento de su situación, estableciendo así las acciones de mejora correspondientes. </w:t>
      </w:r>
    </w:p>
    <w:p w:rsidR="00A623FC" w:rsidRPr="00995925" w:rsidRDefault="00855D27" w:rsidP="00855D27">
      <w:pPr>
        <w:jc w:val="right"/>
      </w:pPr>
      <w:r w:rsidRPr="00855D27">
        <w:rPr>
          <w:i/>
        </w:rPr>
        <w:t>Natalia Andrea Baracaldo Lozano</w:t>
      </w:r>
    </w:p>
    <w:sectPr w:rsidR="00A623FC" w:rsidRPr="00995925"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4FF" w:rsidRDefault="002B34FF" w:rsidP="00EE7812">
      <w:pPr>
        <w:spacing w:after="0" w:line="240" w:lineRule="auto"/>
      </w:pPr>
      <w:r>
        <w:separator/>
      </w:r>
    </w:p>
  </w:endnote>
  <w:endnote w:type="continuationSeparator" w:id="0">
    <w:p w:rsidR="002B34FF" w:rsidRDefault="002B34F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4FF" w:rsidRDefault="002B34FF" w:rsidP="00EE7812">
      <w:pPr>
        <w:spacing w:after="0" w:line="240" w:lineRule="auto"/>
      </w:pPr>
      <w:r>
        <w:separator/>
      </w:r>
    </w:p>
  </w:footnote>
  <w:footnote w:type="continuationSeparator" w:id="0">
    <w:p w:rsidR="002B34FF" w:rsidRDefault="002B34F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995925">
      <w:t>682</w:t>
    </w:r>
    <w:r w:rsidR="00667D4D">
      <w:t>,</w:t>
    </w:r>
    <w:r w:rsidR="009D09BB">
      <w:t xml:space="preserve"> </w:t>
    </w:r>
    <w:r w:rsidR="00593C82">
      <w:t xml:space="preserve">abril </w:t>
    </w:r>
    <w:r w:rsidR="001F71E7">
      <w:t>22</w:t>
    </w:r>
    <w:r w:rsidR="0005771D">
      <w:t xml:space="preserve"> </w:t>
    </w:r>
    <w:r w:rsidR="0080786C">
      <w:t>de 201</w:t>
    </w:r>
    <w:r w:rsidR="00EB30A7">
      <w:t>3</w:t>
    </w:r>
  </w:p>
  <w:p w:rsidR="0046164F" w:rsidRDefault="002B34FF"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3in;height:3in" o:bullet="t"/>
    </w:pict>
  </w:numPicBullet>
  <w:abstractNum w:abstractNumId="0">
    <w:nsid w:val="03C660DD"/>
    <w:multiLevelType w:val="hybridMultilevel"/>
    <w:tmpl w:val="98D6BBA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9">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4410648"/>
    <w:multiLevelType w:val="hybridMultilevel"/>
    <w:tmpl w:val="0F8E12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5">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4F43D42"/>
    <w:multiLevelType w:val="hybridMultilevel"/>
    <w:tmpl w:val="A970BF12"/>
    <w:lvl w:ilvl="0" w:tplc="9DE01BF0">
      <w:start w:val="1"/>
      <w:numFmt w:val="bullet"/>
      <w:lvlText w:val="•"/>
      <w:lvlJc w:val="left"/>
      <w:pPr>
        <w:tabs>
          <w:tab w:val="num" w:pos="360"/>
        </w:tabs>
        <w:ind w:left="360" w:hanging="360"/>
      </w:pPr>
      <w:rPr>
        <w:rFonts w:ascii="Arial" w:hAnsi="Arial" w:cs="Times New Roman" w:hint="default"/>
      </w:rPr>
    </w:lvl>
    <w:lvl w:ilvl="1" w:tplc="1FDA6B2E">
      <w:start w:val="1"/>
      <w:numFmt w:val="bullet"/>
      <w:lvlText w:val="•"/>
      <w:lvlJc w:val="left"/>
      <w:pPr>
        <w:tabs>
          <w:tab w:val="num" w:pos="1080"/>
        </w:tabs>
        <w:ind w:left="1080" w:hanging="360"/>
      </w:pPr>
      <w:rPr>
        <w:rFonts w:ascii="Arial" w:hAnsi="Arial" w:cs="Times New Roman" w:hint="default"/>
      </w:rPr>
    </w:lvl>
    <w:lvl w:ilvl="2" w:tplc="662E4CD6">
      <w:start w:val="1"/>
      <w:numFmt w:val="bullet"/>
      <w:lvlText w:val="•"/>
      <w:lvlJc w:val="left"/>
      <w:pPr>
        <w:tabs>
          <w:tab w:val="num" w:pos="1800"/>
        </w:tabs>
        <w:ind w:left="1800" w:hanging="360"/>
      </w:pPr>
      <w:rPr>
        <w:rFonts w:ascii="Arial" w:hAnsi="Arial" w:cs="Times New Roman" w:hint="default"/>
      </w:rPr>
    </w:lvl>
    <w:lvl w:ilvl="3" w:tplc="0242F004">
      <w:start w:val="1"/>
      <w:numFmt w:val="bullet"/>
      <w:lvlText w:val="•"/>
      <w:lvlJc w:val="left"/>
      <w:pPr>
        <w:tabs>
          <w:tab w:val="num" w:pos="2520"/>
        </w:tabs>
        <w:ind w:left="2520" w:hanging="360"/>
      </w:pPr>
      <w:rPr>
        <w:rFonts w:ascii="Arial" w:hAnsi="Arial" w:cs="Times New Roman" w:hint="default"/>
      </w:rPr>
    </w:lvl>
    <w:lvl w:ilvl="4" w:tplc="64046BF2">
      <w:start w:val="1"/>
      <w:numFmt w:val="bullet"/>
      <w:lvlText w:val="•"/>
      <w:lvlJc w:val="left"/>
      <w:pPr>
        <w:tabs>
          <w:tab w:val="num" w:pos="3240"/>
        </w:tabs>
        <w:ind w:left="3240" w:hanging="360"/>
      </w:pPr>
      <w:rPr>
        <w:rFonts w:ascii="Arial" w:hAnsi="Arial" w:cs="Times New Roman" w:hint="default"/>
      </w:rPr>
    </w:lvl>
    <w:lvl w:ilvl="5" w:tplc="98BC027C">
      <w:start w:val="1"/>
      <w:numFmt w:val="bullet"/>
      <w:lvlText w:val="•"/>
      <w:lvlJc w:val="left"/>
      <w:pPr>
        <w:tabs>
          <w:tab w:val="num" w:pos="3960"/>
        </w:tabs>
        <w:ind w:left="3960" w:hanging="360"/>
      </w:pPr>
      <w:rPr>
        <w:rFonts w:ascii="Arial" w:hAnsi="Arial" w:cs="Times New Roman" w:hint="default"/>
      </w:rPr>
    </w:lvl>
    <w:lvl w:ilvl="6" w:tplc="CC602DCC">
      <w:start w:val="1"/>
      <w:numFmt w:val="bullet"/>
      <w:lvlText w:val="•"/>
      <w:lvlJc w:val="left"/>
      <w:pPr>
        <w:tabs>
          <w:tab w:val="num" w:pos="4680"/>
        </w:tabs>
        <w:ind w:left="4680" w:hanging="360"/>
      </w:pPr>
      <w:rPr>
        <w:rFonts w:ascii="Arial" w:hAnsi="Arial" w:cs="Times New Roman" w:hint="default"/>
      </w:rPr>
    </w:lvl>
    <w:lvl w:ilvl="7" w:tplc="50D2FD38">
      <w:start w:val="1"/>
      <w:numFmt w:val="bullet"/>
      <w:lvlText w:val="•"/>
      <w:lvlJc w:val="left"/>
      <w:pPr>
        <w:tabs>
          <w:tab w:val="num" w:pos="5400"/>
        </w:tabs>
        <w:ind w:left="5400" w:hanging="360"/>
      </w:pPr>
      <w:rPr>
        <w:rFonts w:ascii="Arial" w:hAnsi="Arial" w:cs="Times New Roman" w:hint="default"/>
      </w:rPr>
    </w:lvl>
    <w:lvl w:ilvl="8" w:tplc="E21CC79E">
      <w:start w:val="1"/>
      <w:numFmt w:val="bullet"/>
      <w:lvlText w:val="•"/>
      <w:lvlJc w:val="left"/>
      <w:pPr>
        <w:tabs>
          <w:tab w:val="num" w:pos="6120"/>
        </w:tabs>
        <w:ind w:left="6120" w:hanging="360"/>
      </w:pPr>
      <w:rPr>
        <w:rFonts w:ascii="Arial" w:hAnsi="Arial" w:cs="Times New Roman" w:hint="default"/>
      </w:rPr>
    </w:lvl>
  </w:abstractNum>
  <w:abstractNum w:abstractNumId="39">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5">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abstractNum w:abstractNumId="47">
    <w:nsid w:val="7ECB0EC1"/>
    <w:multiLevelType w:val="hybridMultilevel"/>
    <w:tmpl w:val="8E20E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7F4F3DD8"/>
    <w:multiLevelType w:val="hybridMultilevel"/>
    <w:tmpl w:val="FDBE076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7"/>
  </w:num>
  <w:num w:numId="11">
    <w:abstractNumId w:val="32"/>
  </w:num>
  <w:num w:numId="12">
    <w:abstractNumId w:val="2"/>
  </w:num>
  <w:num w:numId="13">
    <w:abstractNumId w:val="11"/>
  </w:num>
  <w:num w:numId="14">
    <w:abstractNumId w:val="13"/>
  </w:num>
  <w:num w:numId="15">
    <w:abstractNumId w:val="26"/>
  </w:num>
  <w:num w:numId="16">
    <w:abstractNumId w:val="9"/>
  </w:num>
  <w:num w:numId="17">
    <w:abstractNumId w:val="6"/>
  </w:num>
  <w:num w:numId="18">
    <w:abstractNumId w:val="39"/>
  </w:num>
  <w:num w:numId="19">
    <w:abstractNumId w:val="15"/>
  </w:num>
  <w:num w:numId="20">
    <w:abstractNumId w:val="23"/>
  </w:num>
  <w:num w:numId="21">
    <w:abstractNumId w:val="21"/>
  </w:num>
  <w:num w:numId="22">
    <w:abstractNumId w:val="4"/>
  </w:num>
  <w:num w:numId="23">
    <w:abstractNumId w:val="22"/>
  </w:num>
  <w:num w:numId="24">
    <w:abstractNumId w:val="28"/>
  </w:num>
  <w:num w:numId="25">
    <w:abstractNumId w:val="3"/>
  </w:num>
  <w:num w:numId="26">
    <w:abstractNumId w:val="18"/>
  </w:num>
  <w:num w:numId="27">
    <w:abstractNumId w:val="34"/>
  </w:num>
  <w:num w:numId="28">
    <w:abstractNumId w:val="35"/>
  </w:num>
  <w:num w:numId="29">
    <w:abstractNumId w:val="33"/>
  </w:num>
  <w:num w:numId="30">
    <w:abstractNumId w:val="37"/>
  </w:num>
  <w:num w:numId="31">
    <w:abstractNumId w:val="5"/>
  </w:num>
  <w:num w:numId="32">
    <w:abstractNumId w:val="44"/>
  </w:num>
  <w:num w:numId="33">
    <w:abstractNumId w:val="12"/>
  </w:num>
  <w:num w:numId="34">
    <w:abstractNumId w:val="46"/>
  </w:num>
  <w:num w:numId="35">
    <w:abstractNumId w:val="25"/>
  </w:num>
  <w:num w:numId="36">
    <w:abstractNumId w:val="24"/>
  </w:num>
  <w:num w:numId="37">
    <w:abstractNumId w:val="29"/>
  </w:num>
  <w:num w:numId="38">
    <w:abstractNumId w:val="10"/>
  </w:num>
  <w:num w:numId="39">
    <w:abstractNumId w:val="14"/>
  </w:num>
  <w:num w:numId="40">
    <w:abstractNumId w:val="1"/>
  </w:num>
  <w:num w:numId="41">
    <w:abstractNumId w:val="36"/>
  </w:num>
  <w:num w:numId="42">
    <w:abstractNumId w:val="45"/>
  </w:num>
  <w:num w:numId="43">
    <w:abstractNumId w:val="20"/>
  </w:num>
  <w:num w:numId="44">
    <w:abstractNumId w:val="31"/>
  </w:num>
  <w:num w:numId="45">
    <w:abstractNumId w:val="30"/>
  </w:num>
  <w:num w:numId="46">
    <w:abstractNumId w:val="47"/>
  </w:num>
  <w:num w:numId="47">
    <w:abstractNumId w:val="0"/>
  </w:num>
  <w:num w:numId="48">
    <w:abstractNumId w:val="48"/>
  </w:num>
  <w:num w:numId="49">
    <w:abstractNumId w:val="38"/>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279"/>
    <w:rsid w:val="0001057C"/>
    <w:rsid w:val="000105DD"/>
    <w:rsid w:val="000106FE"/>
    <w:rsid w:val="00010F90"/>
    <w:rsid w:val="00011371"/>
    <w:rsid w:val="0001243D"/>
    <w:rsid w:val="0001252F"/>
    <w:rsid w:val="00012A0E"/>
    <w:rsid w:val="00012C25"/>
    <w:rsid w:val="00012F08"/>
    <w:rsid w:val="0001393C"/>
    <w:rsid w:val="00013970"/>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3130"/>
    <w:rsid w:val="000433A3"/>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2B5"/>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4C3"/>
    <w:rsid w:val="00067527"/>
    <w:rsid w:val="000675BB"/>
    <w:rsid w:val="00067957"/>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D85"/>
    <w:rsid w:val="000A5F11"/>
    <w:rsid w:val="000A6030"/>
    <w:rsid w:val="000A6183"/>
    <w:rsid w:val="000A61B6"/>
    <w:rsid w:val="000A658A"/>
    <w:rsid w:val="000A65D8"/>
    <w:rsid w:val="000A6723"/>
    <w:rsid w:val="000A6A25"/>
    <w:rsid w:val="000A6BC7"/>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9F3"/>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0685"/>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6F2"/>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FF"/>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941"/>
    <w:rsid w:val="0032296F"/>
    <w:rsid w:val="00323197"/>
    <w:rsid w:val="003234F1"/>
    <w:rsid w:val="00323FDF"/>
    <w:rsid w:val="003240E1"/>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1A"/>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8E6"/>
    <w:rsid w:val="003B2B8C"/>
    <w:rsid w:val="003B2EBF"/>
    <w:rsid w:val="003B30B6"/>
    <w:rsid w:val="003B3968"/>
    <w:rsid w:val="003B3A26"/>
    <w:rsid w:val="003B3BE6"/>
    <w:rsid w:val="003B3DDA"/>
    <w:rsid w:val="003B3DFD"/>
    <w:rsid w:val="003B41C4"/>
    <w:rsid w:val="003B42F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6C6"/>
    <w:rsid w:val="003D29B9"/>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09"/>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E9E"/>
    <w:rsid w:val="00454EE8"/>
    <w:rsid w:val="004550F0"/>
    <w:rsid w:val="00455135"/>
    <w:rsid w:val="004551D0"/>
    <w:rsid w:val="004559E4"/>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A45"/>
    <w:rsid w:val="00467486"/>
    <w:rsid w:val="00467876"/>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A3C"/>
    <w:rsid w:val="00533EDB"/>
    <w:rsid w:val="00534DF4"/>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536"/>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D17"/>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30"/>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C3E"/>
    <w:rsid w:val="005D0DF3"/>
    <w:rsid w:val="005D0F96"/>
    <w:rsid w:val="005D1630"/>
    <w:rsid w:val="005D1D2A"/>
    <w:rsid w:val="005D1D72"/>
    <w:rsid w:val="005D211E"/>
    <w:rsid w:val="005D28B3"/>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7B0"/>
    <w:rsid w:val="005D77D8"/>
    <w:rsid w:val="005D7865"/>
    <w:rsid w:val="005D7ADA"/>
    <w:rsid w:val="005D7EA8"/>
    <w:rsid w:val="005E021D"/>
    <w:rsid w:val="005E028E"/>
    <w:rsid w:val="005E10C4"/>
    <w:rsid w:val="005E11F4"/>
    <w:rsid w:val="005E12ED"/>
    <w:rsid w:val="005E1BC9"/>
    <w:rsid w:val="005E2539"/>
    <w:rsid w:val="005E25D4"/>
    <w:rsid w:val="005E27E6"/>
    <w:rsid w:val="005E2A22"/>
    <w:rsid w:val="005E3649"/>
    <w:rsid w:val="005E3E7D"/>
    <w:rsid w:val="005E3EB1"/>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6EDB"/>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B12"/>
    <w:rsid w:val="00620EE8"/>
    <w:rsid w:val="0062105D"/>
    <w:rsid w:val="00621618"/>
    <w:rsid w:val="00621BBA"/>
    <w:rsid w:val="00621C1D"/>
    <w:rsid w:val="00621E7F"/>
    <w:rsid w:val="00621EFB"/>
    <w:rsid w:val="0062210E"/>
    <w:rsid w:val="00622128"/>
    <w:rsid w:val="00622271"/>
    <w:rsid w:val="0062227E"/>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158"/>
    <w:rsid w:val="0065636E"/>
    <w:rsid w:val="006565D1"/>
    <w:rsid w:val="00656B43"/>
    <w:rsid w:val="00656C8E"/>
    <w:rsid w:val="00656CE4"/>
    <w:rsid w:val="00656E38"/>
    <w:rsid w:val="0065728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2A6"/>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AC3"/>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3DE"/>
    <w:rsid w:val="007A2658"/>
    <w:rsid w:val="007A28B3"/>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65C"/>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0FCB"/>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80246"/>
    <w:rsid w:val="00880330"/>
    <w:rsid w:val="008805A8"/>
    <w:rsid w:val="0088069C"/>
    <w:rsid w:val="00880B61"/>
    <w:rsid w:val="0088100D"/>
    <w:rsid w:val="008818D0"/>
    <w:rsid w:val="008820EE"/>
    <w:rsid w:val="008821AF"/>
    <w:rsid w:val="008821D7"/>
    <w:rsid w:val="0088252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719"/>
    <w:rsid w:val="00886BDD"/>
    <w:rsid w:val="00886C21"/>
    <w:rsid w:val="0088716F"/>
    <w:rsid w:val="008871C9"/>
    <w:rsid w:val="0088765C"/>
    <w:rsid w:val="008878D6"/>
    <w:rsid w:val="00887DEA"/>
    <w:rsid w:val="008903DC"/>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619"/>
    <w:rsid w:val="008A47B2"/>
    <w:rsid w:val="008A4C7F"/>
    <w:rsid w:val="008A4E36"/>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6D1"/>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C64"/>
    <w:rsid w:val="00970CA6"/>
    <w:rsid w:val="00971244"/>
    <w:rsid w:val="00971579"/>
    <w:rsid w:val="00971B2D"/>
    <w:rsid w:val="0097297D"/>
    <w:rsid w:val="00972A19"/>
    <w:rsid w:val="00972F00"/>
    <w:rsid w:val="00973695"/>
    <w:rsid w:val="009736A6"/>
    <w:rsid w:val="00973C4B"/>
    <w:rsid w:val="00973C93"/>
    <w:rsid w:val="00973D50"/>
    <w:rsid w:val="00973DB9"/>
    <w:rsid w:val="00973F93"/>
    <w:rsid w:val="00973FCE"/>
    <w:rsid w:val="009747B5"/>
    <w:rsid w:val="009747BF"/>
    <w:rsid w:val="0097482D"/>
    <w:rsid w:val="0097508E"/>
    <w:rsid w:val="00975421"/>
    <w:rsid w:val="009754F0"/>
    <w:rsid w:val="00975C5E"/>
    <w:rsid w:val="00975F58"/>
    <w:rsid w:val="0097614D"/>
    <w:rsid w:val="00976B0A"/>
    <w:rsid w:val="00976EA2"/>
    <w:rsid w:val="00977156"/>
    <w:rsid w:val="009772A1"/>
    <w:rsid w:val="0097741F"/>
    <w:rsid w:val="00977471"/>
    <w:rsid w:val="009779FD"/>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9A3"/>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133B"/>
    <w:rsid w:val="009F14A9"/>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0B3"/>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8C"/>
    <w:rsid w:val="00A92B95"/>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9DF"/>
    <w:rsid w:val="00AE2FB6"/>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3AF"/>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5F56"/>
    <w:rsid w:val="00B3616F"/>
    <w:rsid w:val="00B3684F"/>
    <w:rsid w:val="00B373EC"/>
    <w:rsid w:val="00B373FC"/>
    <w:rsid w:val="00B379C4"/>
    <w:rsid w:val="00B37ACE"/>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1AA"/>
    <w:rsid w:val="00C15C9B"/>
    <w:rsid w:val="00C15CF6"/>
    <w:rsid w:val="00C15DB8"/>
    <w:rsid w:val="00C1635E"/>
    <w:rsid w:val="00C163E5"/>
    <w:rsid w:val="00C1677A"/>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443"/>
    <w:rsid w:val="00C41792"/>
    <w:rsid w:val="00C4181B"/>
    <w:rsid w:val="00C41D9F"/>
    <w:rsid w:val="00C4223A"/>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FF"/>
    <w:rsid w:val="00D20100"/>
    <w:rsid w:val="00D20559"/>
    <w:rsid w:val="00D207C8"/>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895"/>
    <w:rsid w:val="00D41969"/>
    <w:rsid w:val="00D41DDF"/>
    <w:rsid w:val="00D41EBF"/>
    <w:rsid w:val="00D42357"/>
    <w:rsid w:val="00D42C66"/>
    <w:rsid w:val="00D42F78"/>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2179"/>
    <w:rsid w:val="00D82548"/>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464"/>
    <w:rsid w:val="00E525E6"/>
    <w:rsid w:val="00E52984"/>
    <w:rsid w:val="00E52AA0"/>
    <w:rsid w:val="00E53272"/>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316"/>
    <w:rsid w:val="00EA33F5"/>
    <w:rsid w:val="00EA3667"/>
    <w:rsid w:val="00EA3977"/>
    <w:rsid w:val="00EA3B35"/>
    <w:rsid w:val="00EA3C9F"/>
    <w:rsid w:val="00EA420A"/>
    <w:rsid w:val="00EA435C"/>
    <w:rsid w:val="00EA4366"/>
    <w:rsid w:val="00EA4416"/>
    <w:rsid w:val="00EA44A6"/>
    <w:rsid w:val="00EA4656"/>
    <w:rsid w:val="00EA471D"/>
    <w:rsid w:val="00EA4876"/>
    <w:rsid w:val="00EA48E8"/>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368"/>
    <w:rsid w:val="00ED4440"/>
    <w:rsid w:val="00ED46C5"/>
    <w:rsid w:val="00ED4727"/>
    <w:rsid w:val="00ED4BFB"/>
    <w:rsid w:val="00ED506E"/>
    <w:rsid w:val="00ED5276"/>
    <w:rsid w:val="00ED52FA"/>
    <w:rsid w:val="00ED5323"/>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580"/>
    <w:rsid w:val="00F25643"/>
    <w:rsid w:val="00F26017"/>
    <w:rsid w:val="00F26329"/>
    <w:rsid w:val="00F264D6"/>
    <w:rsid w:val="00F26658"/>
    <w:rsid w:val="00F26BFF"/>
    <w:rsid w:val="00F26E33"/>
    <w:rsid w:val="00F26F14"/>
    <w:rsid w:val="00F27181"/>
    <w:rsid w:val="00F276BB"/>
    <w:rsid w:val="00F27783"/>
    <w:rsid w:val="00F27A6F"/>
    <w:rsid w:val="00F27B5F"/>
    <w:rsid w:val="00F30047"/>
    <w:rsid w:val="00F30940"/>
    <w:rsid w:val="00F309A9"/>
    <w:rsid w:val="00F30AD6"/>
    <w:rsid w:val="00F30DA5"/>
    <w:rsid w:val="00F31007"/>
    <w:rsid w:val="00F310D3"/>
    <w:rsid w:val="00F3135A"/>
    <w:rsid w:val="00F314CA"/>
    <w:rsid w:val="00F31CBA"/>
    <w:rsid w:val="00F320D1"/>
    <w:rsid w:val="00F32649"/>
    <w:rsid w:val="00F32784"/>
    <w:rsid w:val="00F32797"/>
    <w:rsid w:val="00F32C9C"/>
    <w:rsid w:val="00F32EE4"/>
    <w:rsid w:val="00F334DB"/>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7D"/>
    <w:rsid w:val="00F87902"/>
    <w:rsid w:val="00F87AB7"/>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ditorialcesa.com/index.php?id_product=4&amp;controller=produc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upersociedades.gov.co/web/documentos/guia%20colombiana%20de%20gobierno%20corporativo.pdf" TargetMode="External"/><Relationship Id="rId4" Type="http://schemas.microsoft.com/office/2007/relationships/stylesWithEffects" Target="stylesWithEffects.xml"/><Relationship Id="rId9" Type="http://schemas.openxmlformats.org/officeDocument/2006/relationships/hyperlink" Target="http://www.supersociedades.gov.co/web/Ntrabajo/02.%20Pagina%20Principal%20(Edgar%20Laiton)/20-03-2013%20OCDE/Reunion-OCD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EB234-D54D-46F3-8524-BCDD832BD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476</Words>
  <Characters>2620</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7</cp:revision>
  <cp:lastPrinted>2011-08-23T16:28:00Z</cp:lastPrinted>
  <dcterms:created xsi:type="dcterms:W3CDTF">2013-04-21T22:40:00Z</dcterms:created>
  <dcterms:modified xsi:type="dcterms:W3CDTF">2013-04-21T22:57:00Z</dcterms:modified>
</cp:coreProperties>
</file>