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96" w:rsidRPr="00ED4D96" w:rsidRDefault="00ED4D96" w:rsidP="00ED4D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D4D96">
        <w:rPr>
          <w:position w:val="-9"/>
          <w:sz w:val="123"/>
        </w:rPr>
        <w:t>E</w:t>
      </w:r>
    </w:p>
    <w:p w:rsidR="00ED4D96" w:rsidRPr="00ED4D96" w:rsidRDefault="00ED4D96" w:rsidP="00ED4D96">
      <w:r w:rsidRPr="00ED4D96">
        <w:t xml:space="preserve">l documento </w:t>
      </w:r>
      <w:hyperlink r:id="rId9" w:history="1">
        <w:r w:rsidRPr="00ED4D96">
          <w:rPr>
            <w:rStyle w:val="Hyperlink"/>
          </w:rPr>
          <w:t>“Problemas prácticos y cuestiones relacionadas con la aplicación de las normas internacionales de au</w:t>
        </w:r>
        <w:r w:rsidRPr="00ED4D96">
          <w:rPr>
            <w:rStyle w:val="Hyperlink"/>
          </w:rPr>
          <w:t>d</w:t>
        </w:r>
        <w:r w:rsidRPr="00ED4D96">
          <w:rPr>
            <w:rStyle w:val="Hyperlink"/>
          </w:rPr>
          <w:t>itoría</w:t>
        </w:r>
      </w:hyperlink>
      <w:r w:rsidRPr="00ED4D96">
        <w:t>” emitido por la Secretaria de la UNCTAD,</w:t>
      </w:r>
      <w:r w:rsidR="004D7D12">
        <w:t xml:space="preserve"> </w:t>
      </w:r>
      <w:r w:rsidRPr="00ED4D96">
        <w:t>menciona que es importante explorar si en los procesos de convergencia a Normas Internaciones de Auditoría,</w:t>
      </w:r>
      <w:r w:rsidR="004D7D12">
        <w:t xml:space="preserve"> </w:t>
      </w:r>
      <w:r w:rsidRPr="00ED4D96">
        <w:t>se han encontrado las mismas dificultades generadas</w:t>
      </w:r>
      <w:r w:rsidR="004D7D12">
        <w:t xml:space="preserve"> </w:t>
      </w:r>
      <w:r w:rsidRPr="00ED4D96">
        <w:t>en procesos similares de otros países.</w:t>
      </w:r>
      <w:r w:rsidR="004D7D12">
        <w:t xml:space="preserve"> </w:t>
      </w:r>
      <w:r w:rsidRPr="00ED4D96">
        <w:t>El documento menciona</w:t>
      </w:r>
      <w:r w:rsidR="004D7D12">
        <w:t xml:space="preserve"> </w:t>
      </w:r>
      <w:r w:rsidRPr="00ED4D96">
        <w:t>los siguientes problemas encontrados en el proceso de convergencia: la resistencia al cambio por parte de los profesionales; las barreras culturales; el tipo de empresas, sobre todo las pequeñas y medianas que son familiares; la inercia de los profesionales</w:t>
      </w:r>
      <w:r w:rsidR="00035E99">
        <w:t>;</w:t>
      </w:r>
      <w:r w:rsidRPr="00ED4D96">
        <w:t xml:space="preserve"> la falta de conocimiento</w:t>
      </w:r>
      <w:r w:rsidR="00035E99">
        <w:t>;</w:t>
      </w:r>
      <w:r w:rsidRPr="00ED4D96">
        <w:t xml:space="preserve"> los costos de las pequeñas firmas de auditoría; inactividad de los encargados del plan de adopción; difícil acceso a las normas; retrasos en la divulgación; deficiencia en la consulta pública e</w:t>
      </w:r>
      <w:r w:rsidR="004D7D12">
        <w:t xml:space="preserve"> </w:t>
      </w:r>
      <w:r w:rsidRPr="00ED4D96">
        <w:t xml:space="preserve">inestabilidad de los comités responsables de leer y emitir los boletines de adopción. </w:t>
      </w:r>
    </w:p>
    <w:p w:rsidR="00ED4D96" w:rsidRPr="00ED4D96" w:rsidRDefault="009137EC" w:rsidP="00ED4D96">
      <w:r>
        <w:t>L</w:t>
      </w:r>
      <w:r w:rsidR="00ED4D96" w:rsidRPr="00ED4D96">
        <w:t>a resistencia al cambio por parte de los profesionales se evidencia claramente con la poca participación de los profesionales en las consultas realizadas</w:t>
      </w:r>
      <w:r w:rsidR="004D7D12">
        <w:t xml:space="preserve"> </w:t>
      </w:r>
      <w:r w:rsidR="00ED4D96" w:rsidRPr="00ED4D96">
        <w:t>por parte del Consejo Técnico de la Contaduría Pública.</w:t>
      </w:r>
      <w:r w:rsidR="004D7D12">
        <w:t xml:space="preserve"> </w:t>
      </w:r>
      <w:r w:rsidR="00ED4D96" w:rsidRPr="00ED4D96">
        <w:t>Así mismo, sobre las barreras culturales</w:t>
      </w:r>
      <w:r w:rsidR="004D7D12">
        <w:t xml:space="preserve"> </w:t>
      </w:r>
      <w:r w:rsidR="00ED4D96" w:rsidRPr="00ED4D96">
        <w:t xml:space="preserve">puede apreciarse que desde tiempo atrás existen gremios de la profesión que han sido renuentes a adoptar prácticas internacionales. La dificultad de los tipos de empresas, podría decirse que ha sido </w:t>
      </w:r>
      <w:r w:rsidR="00BD0F3E">
        <w:t xml:space="preserve">evidente </w:t>
      </w:r>
      <w:r w:rsidR="00ED4D96" w:rsidRPr="00ED4D96">
        <w:t xml:space="preserve">con la definición de los </w:t>
      </w:r>
      <w:hyperlink r:id="rId10" w:history="1">
        <w:r w:rsidR="00ED4D96" w:rsidRPr="00ED4D96">
          <w:rPr>
            <w:rStyle w:val="Hyperlink"/>
          </w:rPr>
          <w:t>grupos de entid</w:t>
        </w:r>
        <w:r w:rsidR="00ED4D96" w:rsidRPr="00ED4D96">
          <w:rPr>
            <w:rStyle w:val="Hyperlink"/>
          </w:rPr>
          <w:t>a</w:t>
        </w:r>
        <w:r w:rsidR="00ED4D96" w:rsidRPr="00ED4D96">
          <w:rPr>
            <w:rStyle w:val="Hyperlink"/>
          </w:rPr>
          <w:t xml:space="preserve">des </w:t>
        </w:r>
      </w:hyperlink>
      <w:r w:rsidR="00ED4D96" w:rsidRPr="00ED4D96">
        <w:t>y</w:t>
      </w:r>
      <w:r w:rsidR="004D7D12">
        <w:t xml:space="preserve"> </w:t>
      </w:r>
      <w:r w:rsidR="00ED4D96" w:rsidRPr="00ED4D96">
        <w:t xml:space="preserve">las correspondientes normas a utilizar. Habría que ver sí con la implementación de las normas el panorama </w:t>
      </w:r>
      <w:r w:rsidR="00ED4D96" w:rsidRPr="00ED4D96">
        <w:lastRenderedPageBreak/>
        <w:t>se torna diferente.</w:t>
      </w:r>
      <w:r w:rsidR="004D7D12">
        <w:t xml:space="preserve"> </w:t>
      </w:r>
      <w:r w:rsidR="00ED4D96" w:rsidRPr="00ED4D96">
        <w:t>Sobre la falta de conocimiento,</w:t>
      </w:r>
      <w:r w:rsidR="004D7D12">
        <w:t xml:space="preserve"> </w:t>
      </w:r>
      <w:r w:rsidR="00ED4D96" w:rsidRPr="00ED4D96">
        <w:t>los profesionales y entidades de regulación se encuentran en la tarea de adquirir los conocimientos necesarios. El CTCP</w:t>
      </w:r>
      <w:r w:rsidR="004D7D12">
        <w:t xml:space="preserve"> </w:t>
      </w:r>
      <w:r w:rsidR="00ED4D96" w:rsidRPr="00ED4D96">
        <w:t xml:space="preserve">ha propuesto </w:t>
      </w:r>
      <w:hyperlink r:id="rId11" w:history="1">
        <w:r w:rsidR="00ED4D96" w:rsidRPr="00ED4D96">
          <w:rPr>
            <w:rStyle w:val="Hyperlink"/>
          </w:rPr>
          <w:t>ta</w:t>
        </w:r>
        <w:r w:rsidR="00ED4D96" w:rsidRPr="00ED4D96">
          <w:rPr>
            <w:rStyle w:val="Hyperlink"/>
          </w:rPr>
          <w:t>l</w:t>
        </w:r>
        <w:r w:rsidR="00ED4D96" w:rsidRPr="00ED4D96">
          <w:rPr>
            <w:rStyle w:val="Hyperlink"/>
          </w:rPr>
          <w:t>leres</w:t>
        </w:r>
      </w:hyperlink>
      <w:r w:rsidR="004D7D12">
        <w:t xml:space="preserve"> </w:t>
      </w:r>
      <w:r w:rsidR="00ED4D96" w:rsidRPr="00ED4D96">
        <w:t>y adicional</w:t>
      </w:r>
      <w:r w:rsidR="0044609B">
        <w:t>mente</w:t>
      </w:r>
      <w:r w:rsidR="00ED4D96" w:rsidRPr="00ED4D96">
        <w:t xml:space="preserve"> hay gran cantidad de ofertas educativas en la materia. Sin embargo lo anterior </w:t>
      </w:r>
      <w:r w:rsidR="0044609B">
        <w:t>genera</w:t>
      </w:r>
      <w:r w:rsidR="00ED4D96" w:rsidRPr="00ED4D96">
        <w:t xml:space="preserve"> la reflexión </w:t>
      </w:r>
      <w:r w:rsidR="00E00C0C">
        <w:t>sobre</w:t>
      </w:r>
      <w:r w:rsidR="00ED4D96" w:rsidRPr="00ED4D96">
        <w:t xml:space="preserve"> si todos los interesados tienen los recursos necesarios para la tan urgida capacitación. Ahí es donde</w:t>
      </w:r>
      <w:r w:rsidR="004D7D12">
        <w:t xml:space="preserve"> </w:t>
      </w:r>
      <w:r w:rsidR="00ED4D96" w:rsidRPr="00ED4D96">
        <w:t xml:space="preserve">viene la dificultad de las pequeñas firmas o de los auditores individuales que deben buscar los recursos necesarios para su actualización. </w:t>
      </w:r>
    </w:p>
    <w:p w:rsidR="00ED4D96" w:rsidRPr="00ED4D96" w:rsidRDefault="00ED4D96" w:rsidP="00ED4D96">
      <w:r w:rsidRPr="00ED4D96">
        <w:t xml:space="preserve">Con respecto a la inactividad de los encargados del plan de adopción y los retrasos en la divulgación de las normas, debe mencionarse que desde la promulgación de la </w:t>
      </w:r>
      <w:hyperlink r:id="rId12" w:history="1">
        <w:r w:rsidRPr="00ED4D96">
          <w:rPr>
            <w:rStyle w:val="Hyperlink"/>
          </w:rPr>
          <w:t>Ley 1</w:t>
        </w:r>
        <w:r w:rsidRPr="00ED4D96">
          <w:rPr>
            <w:rStyle w:val="Hyperlink"/>
          </w:rPr>
          <w:t>3</w:t>
        </w:r>
        <w:r w:rsidRPr="00ED4D96">
          <w:rPr>
            <w:rStyle w:val="Hyperlink"/>
          </w:rPr>
          <w:t>14 de 2009</w:t>
        </w:r>
      </w:hyperlink>
      <w:r w:rsidRPr="00ED4D96">
        <w:t xml:space="preserve">, el CTCP ha emitido diferentes </w:t>
      </w:r>
      <w:hyperlink r:id="rId13" w:history="1">
        <w:r w:rsidRPr="00ED4D96">
          <w:rPr>
            <w:rStyle w:val="Hyperlink"/>
          </w:rPr>
          <w:t>plan</w:t>
        </w:r>
        <w:r w:rsidRPr="00ED4D96">
          <w:rPr>
            <w:rStyle w:val="Hyperlink"/>
          </w:rPr>
          <w:t>e</w:t>
        </w:r>
        <w:r w:rsidRPr="00ED4D96">
          <w:rPr>
            <w:rStyle w:val="Hyperlink"/>
          </w:rPr>
          <w:t>s de trabajo</w:t>
        </w:r>
      </w:hyperlink>
      <w:r w:rsidRPr="00ED4D96">
        <w:t xml:space="preserve">, evidenciándose dificultades en el proceso de organización y determinación del plan de emisión de normas lo que a su vez, ha traído retrasos en la divulgación de las normas. </w:t>
      </w:r>
    </w:p>
    <w:p w:rsidR="00ED4D96" w:rsidRPr="00ED4D96" w:rsidRDefault="00ED4D96" w:rsidP="00ED4D96">
      <w:r w:rsidRPr="00ED4D96">
        <w:t>En fin, lo importante es que ya estamos en marcha y que al igual que en los demás países se nos han presentado las dificultades propias del proceso</w:t>
      </w:r>
      <w:r w:rsidR="004D7D12">
        <w:t xml:space="preserve"> </w:t>
      </w:r>
      <w:r w:rsidRPr="00ED4D96">
        <w:t>y que seguramente se superarán para cumplir con el objetivo último:</w:t>
      </w:r>
      <w:r w:rsidR="004D7D12">
        <w:t xml:space="preserve"> </w:t>
      </w:r>
      <w:r w:rsidRPr="00ED4D96">
        <w:t xml:space="preserve">Proyectar confianza, transparencia y comparabilidad de la información financiera de las empresas lo que a su vez </w:t>
      </w:r>
      <w:r w:rsidR="00D331E2">
        <w:t>permite que Colombia no esté</w:t>
      </w:r>
      <w:bookmarkStart w:id="0" w:name="_GoBack"/>
      <w:bookmarkEnd w:id="0"/>
      <w:r w:rsidR="004D7D12">
        <w:t xml:space="preserve"> </w:t>
      </w:r>
      <w:r w:rsidRPr="00ED4D96">
        <w:t>aislada de las tendencias mundiales de la globalización.</w:t>
      </w:r>
    </w:p>
    <w:p w:rsidR="00ED4D96" w:rsidRPr="00ED4D96" w:rsidRDefault="00ED4D96" w:rsidP="00ED4D96">
      <w:pPr>
        <w:jc w:val="right"/>
      </w:pPr>
      <w:r w:rsidRPr="00ED4D96">
        <w:rPr>
          <w:i/>
          <w:iCs/>
        </w:rPr>
        <w:t>Jenny Marlene Sosa Cardozo</w:t>
      </w:r>
    </w:p>
    <w:sectPr w:rsidR="00ED4D96" w:rsidRPr="00ED4D96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52" w:rsidRDefault="00742A52" w:rsidP="00EE7812">
      <w:pPr>
        <w:spacing w:after="0" w:line="240" w:lineRule="auto"/>
      </w:pPr>
      <w:r>
        <w:separator/>
      </w:r>
    </w:p>
  </w:endnote>
  <w:endnote w:type="continuationSeparator" w:id="0">
    <w:p w:rsidR="00742A52" w:rsidRDefault="00742A5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52" w:rsidRDefault="00742A52" w:rsidP="00EE7812">
      <w:pPr>
        <w:spacing w:after="0" w:line="240" w:lineRule="auto"/>
      </w:pPr>
      <w:r>
        <w:separator/>
      </w:r>
    </w:p>
  </w:footnote>
  <w:footnote w:type="continuationSeparator" w:id="0">
    <w:p w:rsidR="00742A52" w:rsidRDefault="00742A5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A5C90">
      <w:t>683</w:t>
    </w:r>
    <w:r w:rsidR="00667D4D">
      <w:t>,</w:t>
    </w:r>
    <w:r w:rsidR="009D09BB">
      <w:t xml:space="preserve"> </w:t>
    </w:r>
    <w:r w:rsidR="00593C82">
      <w:t xml:space="preserve">abril </w:t>
    </w:r>
    <w:r w:rsidR="001F71E7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742A5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10648"/>
    <w:multiLevelType w:val="hybridMultilevel"/>
    <w:tmpl w:val="0F8E1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43D42"/>
    <w:multiLevelType w:val="hybridMultilevel"/>
    <w:tmpl w:val="A970BF12"/>
    <w:lvl w:ilvl="0" w:tplc="9DE01B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FDA6B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62E4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242F00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046BF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8BC027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602D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0D2FD3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21CC79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7"/>
  </w:num>
  <w:num w:numId="11">
    <w:abstractNumId w:val="32"/>
  </w:num>
  <w:num w:numId="12">
    <w:abstractNumId w:val="2"/>
  </w:num>
  <w:num w:numId="13">
    <w:abstractNumId w:val="11"/>
  </w:num>
  <w:num w:numId="14">
    <w:abstractNumId w:val="13"/>
  </w:num>
  <w:num w:numId="15">
    <w:abstractNumId w:val="26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3"/>
  </w:num>
  <w:num w:numId="21">
    <w:abstractNumId w:val="2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18"/>
  </w:num>
  <w:num w:numId="27">
    <w:abstractNumId w:val="34"/>
  </w:num>
  <w:num w:numId="28">
    <w:abstractNumId w:val="35"/>
  </w:num>
  <w:num w:numId="29">
    <w:abstractNumId w:val="33"/>
  </w:num>
  <w:num w:numId="30">
    <w:abstractNumId w:val="37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25"/>
  </w:num>
  <w:num w:numId="36">
    <w:abstractNumId w:val="24"/>
  </w:num>
  <w:num w:numId="37">
    <w:abstractNumId w:val="29"/>
  </w:num>
  <w:num w:numId="38">
    <w:abstractNumId w:val="10"/>
  </w:num>
  <w:num w:numId="39">
    <w:abstractNumId w:val="14"/>
  </w:num>
  <w:num w:numId="40">
    <w:abstractNumId w:val="1"/>
  </w:num>
  <w:num w:numId="41">
    <w:abstractNumId w:val="36"/>
  </w:num>
  <w:num w:numId="42">
    <w:abstractNumId w:val="45"/>
  </w:num>
  <w:num w:numId="43">
    <w:abstractNumId w:val="20"/>
  </w:num>
  <w:num w:numId="44">
    <w:abstractNumId w:val="31"/>
  </w:num>
  <w:num w:numId="45">
    <w:abstractNumId w:val="30"/>
  </w:num>
  <w:num w:numId="46">
    <w:abstractNumId w:val="47"/>
  </w:num>
  <w:num w:numId="47">
    <w:abstractNumId w:val="0"/>
  </w:num>
  <w:num w:numId="48">
    <w:abstractNumId w:val="48"/>
  </w:num>
  <w:num w:numId="49">
    <w:abstractNumId w:val="3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1D72"/>
    <w:rsid w:val="005D211E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A52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p.gov.co/?q=node/7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/2009/ley_1314_200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?q=node/48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tcp.gov.co/sites/default/files/Direccionamiento%20dic%20de%202012%20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tad.org/es/docs/c2isard49_sp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E119-15EC-4FDB-B299-FD65C196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2013-04-21T23:01:00Z</dcterms:created>
  <dcterms:modified xsi:type="dcterms:W3CDTF">2013-04-21T23:15:00Z</dcterms:modified>
</cp:coreProperties>
</file>