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2716" w14:textId="14B4EEF4" w:rsidR="008D0879" w:rsidRPr="008D0879" w:rsidRDefault="008D0879" w:rsidP="008D0879">
      <w:pPr>
        <w:keepNext/>
        <w:framePr w:dropCap="drop" w:lines="3" w:wrap="around" w:vAnchor="text" w:hAnchor="text"/>
        <w:spacing w:after="0" w:line="926" w:lineRule="exact"/>
        <w:textAlignment w:val="baseline"/>
        <w:rPr>
          <w:position w:val="-9"/>
          <w:sz w:val="123"/>
          <w:lang w:val="en-US"/>
        </w:rPr>
      </w:pPr>
      <w:r w:rsidRPr="008D0879">
        <w:rPr>
          <w:position w:val="-9"/>
          <w:sz w:val="123"/>
          <w:lang w:val="en-US"/>
        </w:rPr>
        <w:t>E</w:t>
      </w:r>
    </w:p>
    <w:p w14:paraId="48EF69B5" w14:textId="51C6C8B9" w:rsidR="003A23BD" w:rsidRDefault="00856D93" w:rsidP="008D0879">
      <w:r w:rsidRPr="008D0879">
        <w:rPr>
          <w:lang w:val="en-US"/>
        </w:rPr>
        <w:t xml:space="preserve">n </w:t>
      </w:r>
      <w:r w:rsidRPr="008D0879">
        <w:rPr>
          <w:i/>
          <w:lang w:val="en-US"/>
        </w:rPr>
        <w:t>Accounting, Organizations and Society</w:t>
      </w:r>
      <w:r w:rsidRPr="008D0879">
        <w:rPr>
          <w:lang w:val="en-US"/>
        </w:rPr>
        <w:t xml:space="preserve"> 101 (2022) 101332, </w:t>
      </w:r>
      <w:proofErr w:type="spellStart"/>
      <w:r w:rsidRPr="008D0879">
        <w:rPr>
          <w:lang w:val="en-US"/>
        </w:rPr>
        <w:t>encontramos</w:t>
      </w:r>
      <w:proofErr w:type="spellEnd"/>
      <w:r w:rsidRPr="008D0879">
        <w:rPr>
          <w:lang w:val="en-US"/>
        </w:rPr>
        <w:t xml:space="preserve"> un </w:t>
      </w:r>
      <w:proofErr w:type="spellStart"/>
      <w:r w:rsidRPr="008D0879">
        <w:rPr>
          <w:lang w:val="en-US"/>
        </w:rPr>
        <w:t>artículo</w:t>
      </w:r>
      <w:proofErr w:type="spellEnd"/>
      <w:r w:rsidRPr="008D0879">
        <w:rPr>
          <w:lang w:val="en-US"/>
        </w:rPr>
        <w:t xml:space="preserve"> de Brant Christensen</w:t>
      </w:r>
      <w:r w:rsidR="008D0879" w:rsidRPr="008D0879">
        <w:rPr>
          <w:lang w:val="en-US"/>
        </w:rPr>
        <w:t>,</w:t>
      </w:r>
      <w:r w:rsidRPr="008D0879">
        <w:rPr>
          <w:lang w:val="en-US"/>
        </w:rPr>
        <w:t xml:space="preserve"> Roy </w:t>
      </w:r>
      <w:proofErr w:type="spellStart"/>
      <w:r w:rsidRPr="008D0879">
        <w:rPr>
          <w:lang w:val="en-US"/>
        </w:rPr>
        <w:t>Schmardebeck</w:t>
      </w:r>
      <w:proofErr w:type="spellEnd"/>
      <w:r w:rsidR="008D0879" w:rsidRPr="008D0879">
        <w:rPr>
          <w:lang w:val="en-US"/>
        </w:rPr>
        <w:t xml:space="preserve"> &amp;</w:t>
      </w:r>
      <w:r w:rsidRPr="008D0879">
        <w:rPr>
          <w:lang w:val="en-US"/>
        </w:rPr>
        <w:t>, Timothy Seidel</w:t>
      </w:r>
      <w:r w:rsidR="008D0879" w:rsidRPr="008D0879">
        <w:rPr>
          <w:lang w:val="en-US"/>
        </w:rPr>
        <w:t xml:space="preserve">, </w:t>
      </w:r>
      <w:proofErr w:type="spellStart"/>
      <w:r w:rsidR="008D0879" w:rsidRPr="008D0879">
        <w:rPr>
          <w:lang w:val="en-US"/>
        </w:rPr>
        <w:t>titulado</w:t>
      </w:r>
      <w:proofErr w:type="spellEnd"/>
      <w:r w:rsidR="008D0879" w:rsidRPr="008D0879">
        <w:rPr>
          <w:lang w:val="en-US"/>
        </w:rPr>
        <w:t xml:space="preserve"> </w:t>
      </w:r>
      <w:r w:rsidR="008D0879" w:rsidRPr="008D0879">
        <w:rPr>
          <w:i/>
          <w:lang w:val="en-US"/>
        </w:rPr>
        <w:t>Do auditors’ incentives affect materiality assessments of prior-period misstatements?</w:t>
      </w:r>
      <w:r w:rsidR="008D0879">
        <w:rPr>
          <w:i/>
          <w:lang w:val="en-US"/>
        </w:rPr>
        <w:t>,</w:t>
      </w:r>
      <w:r w:rsidR="008D0879" w:rsidRPr="008D0879">
        <w:rPr>
          <w:lang w:val="en-US"/>
        </w:rPr>
        <w:t xml:space="preserve"> </w:t>
      </w:r>
      <w:proofErr w:type="spellStart"/>
      <w:r w:rsidR="008D0879">
        <w:rPr>
          <w:lang w:val="en-US"/>
        </w:rPr>
        <w:t>e</w:t>
      </w:r>
      <w:r w:rsidR="008D0879" w:rsidRPr="008D0879">
        <w:rPr>
          <w:lang w:val="en-US"/>
        </w:rPr>
        <w:t>n</w:t>
      </w:r>
      <w:proofErr w:type="spellEnd"/>
      <w:r w:rsidR="008D0879" w:rsidRPr="008D0879">
        <w:rPr>
          <w:lang w:val="en-US"/>
        </w:rPr>
        <w:t xml:space="preserve"> el </w:t>
      </w:r>
      <w:proofErr w:type="spellStart"/>
      <w:r w:rsidR="008D0879" w:rsidRPr="008D0879">
        <w:rPr>
          <w:lang w:val="en-US"/>
        </w:rPr>
        <w:t>cual</w:t>
      </w:r>
      <w:proofErr w:type="spellEnd"/>
      <w:r w:rsidR="008D0879" w:rsidRPr="008D0879">
        <w:rPr>
          <w:lang w:val="en-US"/>
        </w:rPr>
        <w:t xml:space="preserve"> se dice:</w:t>
      </w:r>
      <w:r w:rsidRPr="00856D93">
        <w:rPr>
          <w:i/>
          <w:lang w:val="en-US"/>
        </w:rPr>
        <w:t xml:space="preserve"> “Consistent with theories related to escalation of commitment and reputation protection, we find that greater auditor engagement risk and increased client importance are both associated with a lower disclosure prominence of prior-period misstatements, thereby providing evidence of the influence of auditor incentives on materiality assessments. Further analyses show that the influence of auditor incentives on disclosure prominence is only present when auditor incentives to avoid further litigation or client losses within an audit office are most salient and when the quantitative magnitude of the misstatement is in a range subject to greater professional judgment, possibly reflecting subconscious bias in the assessment (Blay, 2005; </w:t>
      </w:r>
      <w:proofErr w:type="spellStart"/>
      <w:r w:rsidRPr="00856D93">
        <w:rPr>
          <w:i/>
          <w:lang w:val="en-US"/>
        </w:rPr>
        <w:t>Peecher</w:t>
      </w:r>
      <w:proofErr w:type="spellEnd"/>
      <w:r w:rsidRPr="00856D93">
        <w:rPr>
          <w:i/>
          <w:lang w:val="en-US"/>
        </w:rPr>
        <w:t xml:space="preserve"> et al., 2013). Thus, we identify that boundary conditions exist on the extent to which auditor incentives affect materiality judgments. However, contrary to the intended effect of professional practice involvement, we find evidence of a shared responsibility effect through which the involvement of professional practice appears to increase auditors’ escalation of commitment. Thus, our study offers important insights to regulators concerned with strategic assessments of materiality (</w:t>
      </w:r>
      <w:proofErr w:type="spellStart"/>
      <w:r w:rsidRPr="00856D93">
        <w:rPr>
          <w:i/>
          <w:lang w:val="en-US"/>
        </w:rPr>
        <w:t>Acito</w:t>
      </w:r>
      <w:proofErr w:type="spellEnd"/>
      <w:r w:rsidRPr="00856D93">
        <w:rPr>
          <w:i/>
          <w:lang w:val="en-US"/>
        </w:rPr>
        <w:t xml:space="preserve"> et al., 2019), while also providing insights to audit firms when considering the optimal design of quality control structures </w:t>
      </w:r>
      <w:r w:rsidRPr="00856D93">
        <w:rPr>
          <w:i/>
          <w:lang w:val="en-US"/>
        </w:rPr>
        <w:t>and the need for an objective professional practice group.”</w:t>
      </w:r>
      <w:r w:rsidR="008D0879">
        <w:rPr>
          <w:i/>
          <w:lang w:val="en-US"/>
        </w:rPr>
        <w:t xml:space="preserve"> </w:t>
      </w:r>
      <w:r w:rsidR="008D0879" w:rsidRPr="008D0879">
        <w:t>Todos los contadores obran, consciente o inconscientemente, tratando de evitar consecuencias inde</w:t>
      </w:r>
      <w:r w:rsidR="008D0879">
        <w:t xml:space="preserve">seadas, como la pérdida de clientes importantes o demandas de los clientes. Las firmas deben tener en funcionamiento un fuerte control interno que procure identificar estas situaciones y, en lo posible evitarlas. Es probable que la mejor salvaguardia sea la revisión del trabajo por un tercero competente. Esto puede impactar notoriamente la rentabilidad de la práctica. Solo organizaciones muy grandes pueden absorber sin preocupación la pérdida de algunos clientes, porque al mismo tiempo ganan otros. Las pequeñas firmas colombianas son muy débiles, con pocos clientes, cuya pérdida puede ser devastadora. </w:t>
      </w:r>
      <w:r w:rsidR="00AA49D9">
        <w:t>Resulta que similares efectos se producen en las autoridades de supervisión, como ha sido notorio a lo largo del tiempo. Se teme la intervención de los superiores dando instrucciones. Por esto se ha procurado generar mayor estabilidad en el cargo y mayor autonomía, pero las influencias políticas no se detienen ante las normas.</w:t>
      </w:r>
      <w:r w:rsidR="0018763E">
        <w:t xml:space="preserve"> Como ya hemos expuesto, el mejor antídoto que la comunidad tiene a su favor es la exigencia de transparencia. Conviene insistir en la divulgación de los asuntos más complejos para el auditor, así como en los diferentes rangos de materialidad utilizados por los preparadores y los aseguradores. Instintivamente los contables procurarán no revelar las situaciones comprometedoras, hacerlo de una manera que transmita poca importancia o declarar que han sido inmunes. </w:t>
      </w:r>
    </w:p>
    <w:p w14:paraId="520F3D98" w14:textId="5E276BE8" w:rsidR="0018763E" w:rsidRPr="008D0879" w:rsidRDefault="0018763E" w:rsidP="0018763E">
      <w:pPr>
        <w:jc w:val="right"/>
      </w:pPr>
      <w:r>
        <w:rPr>
          <w:i/>
        </w:rPr>
        <w:t>Hernando Bermúdez Gó</w:t>
      </w:r>
      <w:r w:rsidRPr="001924A1">
        <w:rPr>
          <w:i/>
        </w:rPr>
        <w:t>mez</w:t>
      </w:r>
    </w:p>
    <w:sectPr w:rsidR="0018763E" w:rsidRPr="008D087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6795" w14:textId="77777777" w:rsidR="00522448" w:rsidRDefault="00522448" w:rsidP="00EE7812">
      <w:pPr>
        <w:spacing w:after="0" w:line="240" w:lineRule="auto"/>
      </w:pPr>
      <w:r>
        <w:separator/>
      </w:r>
    </w:p>
  </w:endnote>
  <w:endnote w:type="continuationSeparator" w:id="0">
    <w:p w14:paraId="136534EB" w14:textId="77777777" w:rsidR="00522448" w:rsidRDefault="005224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1E2A" w14:textId="77777777" w:rsidR="00522448" w:rsidRDefault="00522448" w:rsidP="00EE7812">
      <w:pPr>
        <w:spacing w:after="0" w:line="240" w:lineRule="auto"/>
      </w:pPr>
      <w:r>
        <w:separator/>
      </w:r>
    </w:p>
  </w:footnote>
  <w:footnote w:type="continuationSeparator" w:id="0">
    <w:p w14:paraId="395D709A" w14:textId="77777777" w:rsidR="00522448" w:rsidRDefault="005224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EA1586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12597A">
      <w:t>35</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52244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3077485">
    <w:abstractNumId w:val="0"/>
  </w:num>
  <w:num w:numId="2" w16cid:durableId="258296389">
    <w:abstractNumId w:val="20"/>
  </w:num>
  <w:num w:numId="3" w16cid:durableId="335572312">
    <w:abstractNumId w:val="15"/>
  </w:num>
  <w:num w:numId="4" w16cid:durableId="2022972994">
    <w:abstractNumId w:val="2"/>
  </w:num>
  <w:num w:numId="5" w16cid:durableId="1715539885">
    <w:abstractNumId w:val="19"/>
  </w:num>
  <w:num w:numId="6" w16cid:durableId="211580098">
    <w:abstractNumId w:val="34"/>
  </w:num>
  <w:num w:numId="7" w16cid:durableId="619459002">
    <w:abstractNumId w:val="13"/>
  </w:num>
  <w:num w:numId="8" w16cid:durableId="967858553">
    <w:abstractNumId w:val="32"/>
  </w:num>
  <w:num w:numId="9" w16cid:durableId="555357701">
    <w:abstractNumId w:val="37"/>
  </w:num>
  <w:num w:numId="10" w16cid:durableId="1519659788">
    <w:abstractNumId w:val="4"/>
  </w:num>
  <w:num w:numId="11" w16cid:durableId="912354740">
    <w:abstractNumId w:val="6"/>
  </w:num>
  <w:num w:numId="12" w16cid:durableId="666594973">
    <w:abstractNumId w:val="18"/>
  </w:num>
  <w:num w:numId="13" w16cid:durableId="956136615">
    <w:abstractNumId w:val="21"/>
  </w:num>
  <w:num w:numId="14" w16cid:durableId="1943025161">
    <w:abstractNumId w:val="31"/>
  </w:num>
  <w:num w:numId="15" w16cid:durableId="790515854">
    <w:abstractNumId w:val="9"/>
  </w:num>
  <w:num w:numId="16" w16cid:durableId="199980176">
    <w:abstractNumId w:val="7"/>
  </w:num>
  <w:num w:numId="17" w16cid:durableId="304046990">
    <w:abstractNumId w:val="16"/>
  </w:num>
  <w:num w:numId="18" w16cid:durableId="927345881">
    <w:abstractNumId w:val="30"/>
  </w:num>
  <w:num w:numId="19" w16cid:durableId="1963031192">
    <w:abstractNumId w:val="25"/>
  </w:num>
  <w:num w:numId="20" w16cid:durableId="1560439952">
    <w:abstractNumId w:val="8"/>
  </w:num>
  <w:num w:numId="21" w16cid:durableId="456262297">
    <w:abstractNumId w:val="26"/>
  </w:num>
  <w:num w:numId="22" w16cid:durableId="702250648">
    <w:abstractNumId w:val="27"/>
  </w:num>
  <w:num w:numId="23" w16cid:durableId="146937945">
    <w:abstractNumId w:val="28"/>
  </w:num>
  <w:num w:numId="24" w16cid:durableId="1987124409">
    <w:abstractNumId w:val="33"/>
  </w:num>
  <w:num w:numId="25" w16cid:durableId="553811156">
    <w:abstractNumId w:val="22"/>
  </w:num>
  <w:num w:numId="26" w16cid:durableId="1243446909">
    <w:abstractNumId w:val="14"/>
  </w:num>
  <w:num w:numId="27" w16cid:durableId="501093427">
    <w:abstractNumId w:val="5"/>
  </w:num>
  <w:num w:numId="28" w16cid:durableId="1232623294">
    <w:abstractNumId w:val="23"/>
  </w:num>
  <w:num w:numId="29" w16cid:durableId="1133211262">
    <w:abstractNumId w:val="1"/>
  </w:num>
  <w:num w:numId="30" w16cid:durableId="1908177032">
    <w:abstractNumId w:val="24"/>
  </w:num>
  <w:num w:numId="31" w16cid:durableId="377902419">
    <w:abstractNumId w:val="29"/>
  </w:num>
  <w:num w:numId="32" w16cid:durableId="811337133">
    <w:abstractNumId w:val="12"/>
  </w:num>
  <w:num w:numId="33" w16cid:durableId="686249813">
    <w:abstractNumId w:val="17"/>
  </w:num>
  <w:num w:numId="34" w16cid:durableId="496770867">
    <w:abstractNumId w:val="3"/>
  </w:num>
  <w:num w:numId="35" w16cid:durableId="597635953">
    <w:abstractNumId w:val="35"/>
  </w:num>
  <w:num w:numId="36" w16cid:durableId="1525560372">
    <w:abstractNumId w:val="10"/>
  </w:num>
  <w:num w:numId="37" w16cid:durableId="724523181">
    <w:abstractNumId w:val="11"/>
  </w:num>
  <w:num w:numId="38" w16cid:durableId="1631203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0E4"/>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48"/>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BC"/>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D072-1A31-4C61-814C-0C8BC258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2022-09-03T22:12:00Z</dcterms:created>
  <dcterms:modified xsi:type="dcterms:W3CDTF">2022-09-03T22:12:00Z</dcterms:modified>
</cp:coreProperties>
</file>