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EBA7" w14:textId="3F921857" w:rsidR="00081351" w:rsidRPr="00081351" w:rsidRDefault="00081351" w:rsidP="0008135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081351">
        <w:rPr>
          <w:position w:val="-8"/>
          <w:sz w:val="123"/>
        </w:rPr>
        <w:t>T</w:t>
      </w:r>
    </w:p>
    <w:p w14:paraId="5ABD3E6F" w14:textId="53B87FE7" w:rsidR="009310E2" w:rsidRPr="009310E2" w:rsidRDefault="009310E2" w:rsidP="009310E2">
      <w:r w:rsidRPr="009310E2">
        <w:t xml:space="preserve">odo empezó con el artículo 308 de la </w:t>
      </w:r>
      <w:hyperlink r:id="rId8" w:history="1">
        <w:r w:rsidRPr="00081351">
          <w:rPr>
            <w:rStyle w:val="Hyperlink"/>
          </w:rPr>
          <w:t>Ley 1819 de 2016</w:t>
        </w:r>
      </w:hyperlink>
      <w:r w:rsidRPr="009310E2">
        <w:t xml:space="preserve"> mediante la</w:t>
      </w:r>
      <w:r w:rsidR="00081351">
        <w:t xml:space="preserve"> cual se modificó el tan nombrado artí</w:t>
      </w:r>
      <w:r w:rsidRPr="009310E2">
        <w:t xml:space="preserve">culo </w:t>
      </w:r>
      <w:r w:rsidRPr="009310E2">
        <w:rPr>
          <w:b/>
          <w:bCs/>
        </w:rPr>
        <w:t>616-1 del Estatuto Tributario Nacional,</w:t>
      </w:r>
      <w:r w:rsidRPr="009310E2">
        <w:t xml:space="preserve"> el cual eleva a la categoría </w:t>
      </w:r>
      <w:r w:rsidRPr="009310E2">
        <w:rPr>
          <w:i/>
          <w:iCs/>
        </w:rPr>
        <w:t>de factura para efectos tributarios</w:t>
      </w:r>
      <w:r w:rsidRPr="009310E2">
        <w:t xml:space="preserve"> la factura ELECTRONICA DE VENTA con validación previa.</w:t>
      </w:r>
    </w:p>
    <w:p w14:paraId="291118CB" w14:textId="3882FA4A" w:rsidR="009310E2" w:rsidRPr="009310E2" w:rsidRDefault="009310E2" w:rsidP="009310E2">
      <w:r w:rsidRPr="009310E2">
        <w:t xml:space="preserve">Posteriormente las leyes </w:t>
      </w:r>
      <w:hyperlink r:id="rId9" w:anchor=":~:text=LEY%201943%20DE%202018%20%28diciembre%2028%29%20por%20la,del%20presupuesto%20general%20y%20se%20dictan%20otras%20disposiciones." w:history="1">
        <w:r w:rsidRPr="00081351">
          <w:rPr>
            <w:rStyle w:val="Hyperlink"/>
          </w:rPr>
          <w:t>1943 de 2018</w:t>
        </w:r>
      </w:hyperlink>
      <w:r w:rsidRPr="009310E2">
        <w:t xml:space="preserve">, la </w:t>
      </w:r>
      <w:hyperlink r:id="rId10" w:history="1">
        <w:r w:rsidRPr="00081351">
          <w:rPr>
            <w:rStyle w:val="Hyperlink"/>
          </w:rPr>
          <w:t>2010 de 2019</w:t>
        </w:r>
      </w:hyperlink>
      <w:r w:rsidRPr="009310E2">
        <w:t xml:space="preserve"> y la </w:t>
      </w:r>
      <w:hyperlink r:id="rId11" w:history="1">
        <w:r w:rsidRPr="00081351">
          <w:rPr>
            <w:rStyle w:val="Hyperlink"/>
          </w:rPr>
          <w:t>2155 de 2021</w:t>
        </w:r>
      </w:hyperlink>
      <w:r w:rsidRPr="009310E2">
        <w:t>, sirven de escenario para la transformación de una obligación formal que era de las más simples en materia tributaria, expedir factura o documento equivalente por la venta de bienes o la prestación de servicios.</w:t>
      </w:r>
    </w:p>
    <w:p w14:paraId="0FF0EFE0" w14:textId="5991F625" w:rsidR="009310E2" w:rsidRPr="009310E2" w:rsidRDefault="009310E2" w:rsidP="009310E2">
      <w:r w:rsidRPr="009310E2">
        <w:t xml:space="preserve">Pero el verdadero reto surge a partir de la expedición del </w:t>
      </w:r>
      <w:hyperlink r:id="rId12" w:history="1">
        <w:r w:rsidRPr="00081351">
          <w:rPr>
            <w:rStyle w:val="Hyperlink"/>
          </w:rPr>
          <w:t>Decreto reglamentario 358 de 2020</w:t>
        </w:r>
      </w:hyperlink>
      <w:r w:rsidRPr="009310E2">
        <w:t xml:space="preserve"> y la </w:t>
      </w:r>
      <w:hyperlink r:id="rId13" w:history="1">
        <w:r w:rsidRPr="00081351">
          <w:rPr>
            <w:rStyle w:val="Hyperlink"/>
          </w:rPr>
          <w:t>Resolución DIAN 00042</w:t>
        </w:r>
      </w:hyperlink>
      <w:r w:rsidRPr="009310E2">
        <w:t xml:space="preserve"> del mismo año, donde finalmente se establece un calendario que obliga la adopción de la FACTURA ELECTRONICA DE VENTA como instrumento para cumplir con la obligación formal de facturar, dejando a la FACTURA DE TALONARIO O DE PAPEL y a los documentos equivalentes de la factura para ser utilizados en circunstancias especiales.</w:t>
      </w:r>
    </w:p>
    <w:p w14:paraId="292F2CD5" w14:textId="06CC0F98" w:rsidR="009310E2" w:rsidRPr="009310E2" w:rsidRDefault="009310E2" w:rsidP="009310E2">
      <w:r w:rsidRPr="009310E2">
        <w:t xml:space="preserve">El Gobierno Nacional en contravía de la legislación vigente, que establece </w:t>
      </w:r>
      <w:r w:rsidRPr="009310E2">
        <w:rPr>
          <w:b/>
          <w:bCs/>
        </w:rPr>
        <w:t>la gratuidad</w:t>
      </w:r>
      <w:r w:rsidRPr="009310E2">
        <w:t xml:space="preserve"> en el cumplimiento de las obligaciones (art.</w:t>
      </w:r>
      <w:r w:rsidR="00081351">
        <w:t xml:space="preserve"> </w:t>
      </w:r>
      <w:r w:rsidRPr="009310E2">
        <w:t xml:space="preserve">53 </w:t>
      </w:r>
      <w:hyperlink r:id="rId14" w:history="1">
        <w:r w:rsidRPr="00081351">
          <w:rPr>
            <w:rStyle w:val="Hyperlink"/>
          </w:rPr>
          <w:t>CPACA</w:t>
        </w:r>
      </w:hyperlink>
      <w:r w:rsidRPr="009310E2">
        <w:t xml:space="preserve">): “Procedimientos y trámites administrativos a través de medios electrónicos (…)” Para </w:t>
      </w:r>
      <w:r w:rsidRPr="009310E2">
        <w:rPr>
          <w:u w:val="single"/>
        </w:rPr>
        <w:t>garantizar la igualdad de acceso a la administración, la autoridad deberá asegurar mecanismos suficientes y adecuados de acceso gratuito a los medios electrónicos</w:t>
      </w:r>
      <w:r w:rsidRPr="009310E2">
        <w:t>, o permitir el uso alternativo de otros procedimientos.” (Subrayado fuera del texto).</w:t>
      </w:r>
    </w:p>
    <w:p w14:paraId="1B140A6D" w14:textId="3FF9FB8B" w:rsidR="009310E2" w:rsidRPr="009310E2" w:rsidRDefault="009310E2" w:rsidP="009310E2">
      <w:r w:rsidRPr="009310E2">
        <w:t>La pregunta que se formula es: ¿porque los sistemas GRATUITOS establecidos en la DIAN para cumplir con la obligación formal de facturar, mediante la factura electrónica de venta, no permiten dar cumplimiento a la normatividad establecida por la misma, en términos de inter</w:t>
      </w:r>
      <w:r w:rsidR="00081351">
        <w:t>-</w:t>
      </w:r>
      <w:r w:rsidRPr="009310E2">
        <w:t>operar e inter</w:t>
      </w:r>
      <w:r w:rsidR="00081351">
        <w:t>-</w:t>
      </w:r>
      <w:r w:rsidRPr="009310E2">
        <w:t>actuar?</w:t>
      </w:r>
      <w:r w:rsidR="00081351">
        <w:t xml:space="preserve"> </w:t>
      </w:r>
      <w:r w:rsidRPr="009310E2">
        <w:t>Los servicios gratuitos que ha puesto en servicio la DIAN incumplen con la normativa vigente y, dejan al empresario en estado de ser sancionado al no permitir la inter</w:t>
      </w:r>
      <w:r w:rsidR="00081351">
        <w:t>-</w:t>
      </w:r>
      <w:r w:rsidR="00081351" w:rsidRPr="009310E2">
        <w:t>operatividad</w:t>
      </w:r>
      <w:r w:rsidRPr="009310E2">
        <w:t xml:space="preserve"> y la inter</w:t>
      </w:r>
      <w:r w:rsidR="00081351">
        <w:t>-</w:t>
      </w:r>
      <w:r w:rsidRPr="009310E2">
        <w:t>acción:</w:t>
      </w:r>
    </w:p>
    <w:p w14:paraId="6AE0BBA1" w14:textId="77777777" w:rsidR="009310E2" w:rsidRPr="009310E2" w:rsidRDefault="009310E2" w:rsidP="009310E2">
      <w:r w:rsidRPr="009310E2">
        <w:t>Artículo 22 de la Resolución 000042 de 2020:”</w:t>
      </w:r>
      <w:r w:rsidRPr="009310E2">
        <w:rPr>
          <w:i/>
          <w:iCs/>
        </w:rPr>
        <w:t xml:space="preserve"> Parágrafo. Los softwares de que tratan los medios indicados en el numeral 2 del presente artículo, deben incluir las funcionalidades que permitan el cumplimiento de la obligación formal de expedir factura electrónica de venta</w:t>
      </w:r>
      <w:r w:rsidRPr="009310E2">
        <w:rPr>
          <w:i/>
          <w:iCs/>
          <w:u w:val="single"/>
        </w:rPr>
        <w:t>, la interacción y la interoperabilidad de la citada factura</w:t>
      </w:r>
      <w:r w:rsidRPr="009310E2">
        <w:rPr>
          <w:i/>
          <w:iCs/>
        </w:rPr>
        <w:t>…”</w:t>
      </w:r>
      <w:r w:rsidRPr="009310E2">
        <w:t xml:space="preserve"> (Subrayado fuera del texto)</w:t>
      </w:r>
    </w:p>
    <w:p w14:paraId="4A8B0CFE" w14:textId="77777777" w:rsidR="009310E2" w:rsidRPr="009310E2" w:rsidRDefault="009310E2" w:rsidP="009310E2">
      <w:r w:rsidRPr="009310E2">
        <w:t>Son necesarios entonces los proveedores tecnológicos autorizados por la DIAN, gremio que tiene el poder de colocar precios y condiciones, sin que al momento existan programas de fiscalización dirigidos a verificar que estén realizando la tarea tal como lo establece la Ley.</w:t>
      </w:r>
    </w:p>
    <w:p w14:paraId="537E4FB4" w14:textId="77777777" w:rsidR="009310E2" w:rsidRPr="009310E2" w:rsidRDefault="009310E2" w:rsidP="009310E2">
      <w:r w:rsidRPr="009310E2">
        <w:t>En conclusión, el dinero invertido en los servicios gratuitos ofrecidos por la DIAN está necesitando una veeduría ciudadana dirigida a que, si se crean normas de obligatorio cumplimiento, las mismas puedan ser cubiertas con la utilización del servicio gratuito puesto a disposición por la DIAN y que fue financiado con recursos públicos.</w:t>
      </w:r>
    </w:p>
    <w:p w14:paraId="520F3D98" w14:textId="5E232F83" w:rsidR="0018763E" w:rsidRPr="00081351" w:rsidRDefault="009310E2" w:rsidP="00081351">
      <w:pPr>
        <w:jc w:val="right"/>
        <w:rPr>
          <w:i/>
        </w:rPr>
      </w:pPr>
      <w:r w:rsidRPr="00081351">
        <w:rPr>
          <w:i/>
        </w:rPr>
        <w:t>Braulio Rodriguez Castro</w:t>
      </w:r>
    </w:p>
    <w:sectPr w:rsidR="0018763E" w:rsidRPr="00081351" w:rsidSect="00586137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4600" w14:textId="77777777" w:rsidR="00E8002C" w:rsidRDefault="00E8002C" w:rsidP="00EE7812">
      <w:pPr>
        <w:spacing w:after="0" w:line="240" w:lineRule="auto"/>
      </w:pPr>
      <w:r>
        <w:separator/>
      </w:r>
    </w:p>
  </w:endnote>
  <w:endnote w:type="continuationSeparator" w:id="0">
    <w:p w14:paraId="136A9274" w14:textId="77777777" w:rsidR="00E8002C" w:rsidRDefault="00E8002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D032" w14:textId="77777777" w:rsidR="00E8002C" w:rsidRDefault="00E8002C" w:rsidP="00EE7812">
      <w:pPr>
        <w:spacing w:after="0" w:line="240" w:lineRule="auto"/>
      </w:pPr>
      <w:r>
        <w:separator/>
      </w:r>
    </w:p>
  </w:footnote>
  <w:footnote w:type="continuationSeparator" w:id="0">
    <w:p w14:paraId="64DE9906" w14:textId="77777777" w:rsidR="00E8002C" w:rsidRDefault="00E8002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31A3D85C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8F154E">
      <w:t>8</w:t>
    </w:r>
    <w:r w:rsidR="00052022">
      <w:t>36</w:t>
    </w:r>
    <w:r>
      <w:t>,</w:t>
    </w:r>
    <w:r w:rsidR="00AD1603">
      <w:t xml:space="preserve"> </w:t>
    </w:r>
    <w:r w:rsidR="009365CF">
      <w:t>5 de septiembre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E8002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77263">
    <w:abstractNumId w:val="0"/>
  </w:num>
  <w:num w:numId="2" w16cid:durableId="1054234396">
    <w:abstractNumId w:val="20"/>
  </w:num>
  <w:num w:numId="3" w16cid:durableId="1001664623">
    <w:abstractNumId w:val="15"/>
  </w:num>
  <w:num w:numId="4" w16cid:durableId="1108623025">
    <w:abstractNumId w:val="2"/>
  </w:num>
  <w:num w:numId="5" w16cid:durableId="1296915196">
    <w:abstractNumId w:val="19"/>
  </w:num>
  <w:num w:numId="6" w16cid:durableId="462776731">
    <w:abstractNumId w:val="34"/>
  </w:num>
  <w:num w:numId="7" w16cid:durableId="756907444">
    <w:abstractNumId w:val="13"/>
  </w:num>
  <w:num w:numId="8" w16cid:durableId="1019938746">
    <w:abstractNumId w:val="32"/>
  </w:num>
  <w:num w:numId="9" w16cid:durableId="26613838">
    <w:abstractNumId w:val="37"/>
  </w:num>
  <w:num w:numId="10" w16cid:durableId="1710295350">
    <w:abstractNumId w:val="4"/>
  </w:num>
  <w:num w:numId="11" w16cid:durableId="812867548">
    <w:abstractNumId w:val="6"/>
  </w:num>
  <w:num w:numId="12" w16cid:durableId="45691916">
    <w:abstractNumId w:val="18"/>
  </w:num>
  <w:num w:numId="13" w16cid:durableId="550967">
    <w:abstractNumId w:val="21"/>
  </w:num>
  <w:num w:numId="14" w16cid:durableId="972829109">
    <w:abstractNumId w:val="31"/>
  </w:num>
  <w:num w:numId="15" w16cid:durableId="1669821785">
    <w:abstractNumId w:val="9"/>
  </w:num>
  <w:num w:numId="16" w16cid:durableId="161431057">
    <w:abstractNumId w:val="7"/>
  </w:num>
  <w:num w:numId="17" w16cid:durableId="515191453">
    <w:abstractNumId w:val="16"/>
  </w:num>
  <w:num w:numId="18" w16cid:durableId="1478306268">
    <w:abstractNumId w:val="30"/>
  </w:num>
  <w:num w:numId="19" w16cid:durableId="734016056">
    <w:abstractNumId w:val="25"/>
  </w:num>
  <w:num w:numId="20" w16cid:durableId="2093698790">
    <w:abstractNumId w:val="8"/>
  </w:num>
  <w:num w:numId="21" w16cid:durableId="3242906">
    <w:abstractNumId w:val="26"/>
  </w:num>
  <w:num w:numId="22" w16cid:durableId="1421833586">
    <w:abstractNumId w:val="27"/>
  </w:num>
  <w:num w:numId="23" w16cid:durableId="41171288">
    <w:abstractNumId w:val="28"/>
  </w:num>
  <w:num w:numId="24" w16cid:durableId="151726362">
    <w:abstractNumId w:val="33"/>
  </w:num>
  <w:num w:numId="25" w16cid:durableId="1695691660">
    <w:abstractNumId w:val="22"/>
  </w:num>
  <w:num w:numId="26" w16cid:durableId="2043943680">
    <w:abstractNumId w:val="14"/>
  </w:num>
  <w:num w:numId="27" w16cid:durableId="847598268">
    <w:abstractNumId w:val="5"/>
  </w:num>
  <w:num w:numId="28" w16cid:durableId="1953974668">
    <w:abstractNumId w:val="23"/>
  </w:num>
  <w:num w:numId="29" w16cid:durableId="1613904822">
    <w:abstractNumId w:val="1"/>
  </w:num>
  <w:num w:numId="30" w16cid:durableId="1283071155">
    <w:abstractNumId w:val="24"/>
  </w:num>
  <w:num w:numId="31" w16cid:durableId="2119833593">
    <w:abstractNumId w:val="29"/>
  </w:num>
  <w:num w:numId="32" w16cid:durableId="1990550978">
    <w:abstractNumId w:val="12"/>
  </w:num>
  <w:num w:numId="33" w16cid:durableId="1399980847">
    <w:abstractNumId w:val="17"/>
  </w:num>
  <w:num w:numId="34" w16cid:durableId="860584849">
    <w:abstractNumId w:val="3"/>
  </w:num>
  <w:num w:numId="35" w16cid:durableId="1128282558">
    <w:abstractNumId w:val="35"/>
  </w:num>
  <w:num w:numId="36" w16cid:durableId="743793596">
    <w:abstractNumId w:val="10"/>
  </w:num>
  <w:num w:numId="37" w16cid:durableId="1230072435">
    <w:abstractNumId w:val="11"/>
  </w:num>
  <w:num w:numId="38" w16cid:durableId="527649076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4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B7"/>
    <w:rsid w:val="0006511E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2D"/>
    <w:rsid w:val="0012564B"/>
    <w:rsid w:val="00125679"/>
    <w:rsid w:val="00125686"/>
    <w:rsid w:val="001256D9"/>
    <w:rsid w:val="00125743"/>
    <w:rsid w:val="001257D4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3D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E23"/>
    <w:rsid w:val="00186E48"/>
    <w:rsid w:val="00186EFC"/>
    <w:rsid w:val="001870A5"/>
    <w:rsid w:val="00187112"/>
    <w:rsid w:val="00187348"/>
    <w:rsid w:val="001873D9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08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37F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9F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EDB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887"/>
    <w:rsid w:val="00436AF5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89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1FFC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AC"/>
    <w:rsid w:val="004A0815"/>
    <w:rsid w:val="004A092B"/>
    <w:rsid w:val="004A0983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8A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39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38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B0C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C6D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38E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7C"/>
    <w:rsid w:val="00857705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97B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966"/>
    <w:rsid w:val="00907969"/>
    <w:rsid w:val="0090796A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C8A"/>
    <w:rsid w:val="00994CA2"/>
    <w:rsid w:val="00994CB7"/>
    <w:rsid w:val="00994CD1"/>
    <w:rsid w:val="00994CE3"/>
    <w:rsid w:val="00994D69"/>
    <w:rsid w:val="00994D8B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1044"/>
    <w:rsid w:val="009B1085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30B"/>
    <w:rsid w:val="00A35373"/>
    <w:rsid w:val="00A3539B"/>
    <w:rsid w:val="00A3548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48"/>
    <w:rsid w:val="00A60166"/>
    <w:rsid w:val="00A60172"/>
    <w:rsid w:val="00A601DA"/>
    <w:rsid w:val="00A6029E"/>
    <w:rsid w:val="00A602B5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36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4BF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67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0A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8BC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A4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A5"/>
    <w:rsid w:val="00C844D5"/>
    <w:rsid w:val="00C84588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BB3"/>
    <w:rsid w:val="00D06C02"/>
    <w:rsid w:val="00D06C87"/>
    <w:rsid w:val="00D06C96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31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1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6C"/>
    <w:rsid w:val="00DA6CB6"/>
    <w:rsid w:val="00DA6CC9"/>
    <w:rsid w:val="00DA6D61"/>
    <w:rsid w:val="00DA6D9D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56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92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2C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94E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649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29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00B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search?q=ley+1819+suin+juriscol&amp;cvid=948d38c2d2d343e3b0d4f47536c5085a&amp;aqs=edge..69i57j69i11004.5347j0j4&amp;FORM=ANAB01&amp;PC=W069" TargetMode="External"/><Relationship Id="rId13" Type="http://schemas.openxmlformats.org/officeDocument/2006/relationships/hyperlink" Target="https://normativa.colpensiones.gov.co/compilacion/docs/resolucion_dian_0042_2020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in-juriscol.gov.co/viewDocument.asp?ruta=Decretos/300389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in-juriscol.gov.co/viewDocument.asp?id=3004227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uin-juriscol.gov.co/viewDocument.asp?id=300387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in-juriscol.gov.co/viewDocument.asp?id=30036049" TargetMode="External"/><Relationship Id="rId14" Type="http://schemas.openxmlformats.org/officeDocument/2006/relationships/hyperlink" Target="https://www.suin-juriscol.gov.co/viewDocument.asp?ruta=Leyes/16801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860-8453-4DB4-AC1A-FB2B2D46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3778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2022-09-03T22:14:00Z</dcterms:created>
  <dcterms:modified xsi:type="dcterms:W3CDTF">2022-09-03T22:14:00Z</dcterms:modified>
</cp:coreProperties>
</file>