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68B0" w14:textId="0953A1A3" w:rsidR="00CC474F" w:rsidRPr="00CC474F" w:rsidRDefault="00CC474F" w:rsidP="00CC474F">
      <w:pPr>
        <w:keepNext/>
        <w:framePr w:dropCap="drop" w:lines="3" w:wrap="around" w:vAnchor="text" w:hAnchor="text"/>
        <w:spacing w:after="0" w:line="926" w:lineRule="exact"/>
        <w:textAlignment w:val="baseline"/>
        <w:rPr>
          <w:position w:val="-9"/>
          <w:sz w:val="123"/>
          <w:lang w:val="en-US"/>
        </w:rPr>
      </w:pPr>
      <w:r w:rsidRPr="00CC474F">
        <w:rPr>
          <w:position w:val="-9"/>
          <w:sz w:val="123"/>
          <w:lang w:val="en-US"/>
        </w:rPr>
        <w:t>E</w:t>
      </w:r>
    </w:p>
    <w:p w14:paraId="1E89BDBF" w14:textId="10F201C4" w:rsidR="00AC1BAF" w:rsidRDefault="00CC474F" w:rsidP="00956866">
      <w:r>
        <w:rPr>
          <w:lang w:val="en-US"/>
        </w:rPr>
        <w:t xml:space="preserve">n el artículo </w:t>
      </w:r>
      <w:hyperlink r:id="rId8" w:history="1">
        <w:r w:rsidR="00956866" w:rsidRPr="00CC474F">
          <w:rPr>
            <w:rStyle w:val="Hyperlink"/>
            <w:i/>
            <w:lang w:val="en-US"/>
          </w:rPr>
          <w:t>Identifying motivating factors among college students that influence repeat participation among special event volunteers: the moderating role of class standing</w:t>
        </w:r>
      </w:hyperlink>
      <w:r>
        <w:rPr>
          <w:i/>
          <w:lang w:val="en-US"/>
        </w:rPr>
        <w:t xml:space="preserve"> </w:t>
      </w:r>
      <w:r w:rsidRPr="00CC474F">
        <w:rPr>
          <w:lang w:val="en-US"/>
        </w:rPr>
        <w:t>(</w:t>
      </w:r>
      <w:r w:rsidR="00956866" w:rsidRPr="00CC474F">
        <w:rPr>
          <w:lang w:val="en-US"/>
        </w:rPr>
        <w:t>Alternate title: The moderating role of class standing</w:t>
      </w:r>
      <w:r w:rsidRPr="00CC474F">
        <w:rPr>
          <w:lang w:val="en-US"/>
        </w:rPr>
        <w:t>)</w:t>
      </w:r>
      <w:r>
        <w:rPr>
          <w:lang w:val="en-US"/>
        </w:rPr>
        <w:t xml:space="preserve">, escrito por </w:t>
      </w:r>
      <w:r w:rsidR="00956866" w:rsidRPr="00956866">
        <w:rPr>
          <w:lang w:val="en-US"/>
        </w:rPr>
        <w:t>Beckman, Eric; Pan, Tianyu; Kitterlin, Miranda; Cain, Lisa</w:t>
      </w:r>
      <w:r>
        <w:rPr>
          <w:lang w:val="en-US"/>
        </w:rPr>
        <w:t xml:space="preserve">, que fue publlicado en </w:t>
      </w:r>
      <w:r w:rsidR="00956866" w:rsidRPr="00CC474F">
        <w:rPr>
          <w:i/>
          <w:lang w:val="en-US"/>
        </w:rPr>
        <w:t>International Journal of Event and Festival Management</w:t>
      </w:r>
      <w:r w:rsidR="00956866" w:rsidRPr="00956866">
        <w:rPr>
          <w:lang w:val="en-US"/>
        </w:rPr>
        <w:t>; Bingley Tomo 12, N.º 2, (2021): 148-167</w:t>
      </w:r>
      <w:r>
        <w:rPr>
          <w:lang w:val="en-US"/>
        </w:rPr>
        <w:t>, se lee</w:t>
      </w:r>
      <w:r w:rsidR="00956866" w:rsidRPr="00956866">
        <w:rPr>
          <w:lang w:val="en-US"/>
        </w:rPr>
        <w:t>: “</w:t>
      </w:r>
      <w:r w:rsidR="00956866" w:rsidRPr="00CC474F">
        <w:rPr>
          <w:i/>
          <w:lang w:val="en-US"/>
        </w:rPr>
        <w:t xml:space="preserve">This study identified important motivational factors among university student volunteers at a special event (utilizing items from the SEVMS scale). These factors (purposive, personal enrichment, family traditions) were included in a structural model to predict intention to volunteer again. The variable “attitude towards volunteering” was added to the model to mediate the relationship between volunteer motivations and intention to continue volunteering. This mediator was important in the model as the association between volunteer motivations and intention to continue volunteering proved to be an indirect relationship through the mediating factor (attitude toward volunteering). Furthermore, and most importantly, three of the four hypotheses including the moderator “class standing” were significant, indicating that student volunteers are motivated differently, depending on class standing. These results corroborate the findings from extant literature that demonstrate differences across two different cohorts of students – high school and undergraduate (Haski-Leventhal et al., 2010) – and extends these findings by demonstrating differences across two additional different cohorts of students – freshmen through juniors and </w:t>
      </w:r>
      <w:r w:rsidR="00956866" w:rsidRPr="00CC474F">
        <w:rPr>
          <w:i/>
          <w:lang w:val="en-US"/>
        </w:rPr>
        <w:t>seniors/graduates.</w:t>
      </w:r>
      <w:r w:rsidR="00956866">
        <w:rPr>
          <w:lang w:val="en-US"/>
        </w:rPr>
        <w:t>”</w:t>
      </w:r>
      <w:r>
        <w:rPr>
          <w:lang w:val="en-US"/>
        </w:rPr>
        <w:t xml:space="preserve"> </w:t>
      </w:r>
      <w:r w:rsidRPr="00CC474F">
        <w:t>Es fácil aceptar las conclusion</w:t>
      </w:r>
      <w:r>
        <w:t>e</w:t>
      </w:r>
      <w:r w:rsidRPr="00CC474F">
        <w:t xml:space="preserve">s del </w:t>
      </w:r>
      <w:r>
        <w:t>e</w:t>
      </w:r>
      <w:r w:rsidRPr="00CC474F">
        <w:t xml:space="preserve">studio, pero con frecuencia las </w:t>
      </w:r>
      <w:r>
        <w:t>ignoramo</w:t>
      </w:r>
      <w:r w:rsidRPr="00CC474F">
        <w:t xml:space="preserve">s. </w:t>
      </w:r>
      <w:r>
        <w:t>Muchas acciones que realizamos en las universidades se dirigen a todos los estudiantes, resultando ineficaces respecto de ciertos grupos, que tienen otras formas de ver y valorar las situaciones. Hay muchas características que marcan diferencias: por ejemplo, alumnos que han perdido uno o los dos padres, alumnos que trabajan, alumnos que no viven con su familia, alumnos con facilidades para leer y escuchar en inglés, alumnos realmente convencidos de que estudian lo que les corresponde, alumnos con pareja y/o con hijos, alumnos con facilidades de transporte, alumnos sin recursos suficientes para una debida alimentación, alumnos que estudian de noche o los fines de semana. Muchas veces podemos identificar los grupos existentes entre los estudiantes por características visibles como el conjunto de compañeros con que están dentro de la escuela, los que desayunan o almuerzan juntos, los que se visten de manera muy parecida, los que se peinan o han pintado de cabello de la misma manera.</w:t>
      </w:r>
      <w:r w:rsidR="008F7859">
        <w:t xml:space="preserve"> Como se recordará, los estudiantes tratan de parecerse a la mayoría que suele ubicarse en el centro, apartando a los más y a los menos brillantes.</w:t>
      </w:r>
      <w:r w:rsidR="009053B1">
        <w:t xml:space="preserve"> Este ambiente de estratos, clases, grupos, es muy distinto a la competencia que se vive en los mercados profesionales. En la contaduría colombiana, muchos de sus miembros segregan constantemente a los contables, dificultando la colaboración, la solidaridad o la subsidiariedad. </w:t>
      </w:r>
      <w:r w:rsidR="00EF0F84">
        <w:t>Además, el público tiene una imagen de “profesional”</w:t>
      </w:r>
    </w:p>
    <w:p w14:paraId="510B8C09" w14:textId="5EDD7344" w:rsidR="00EF0F84" w:rsidRPr="00CC474F" w:rsidRDefault="00EF0F84" w:rsidP="00EF0F84">
      <w:pPr>
        <w:jc w:val="right"/>
      </w:pPr>
      <w:r>
        <w:rPr>
          <w:i/>
        </w:rPr>
        <w:t>Hernando Bermúdez Gó</w:t>
      </w:r>
      <w:r w:rsidRPr="001924A1">
        <w:rPr>
          <w:i/>
        </w:rPr>
        <w:t>mez</w:t>
      </w:r>
    </w:p>
    <w:sectPr w:rsidR="00EF0F84" w:rsidRPr="00CC474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738C" w14:textId="77777777" w:rsidR="008C5F04" w:rsidRDefault="008C5F04" w:rsidP="00EE7812">
      <w:pPr>
        <w:spacing w:after="0" w:line="240" w:lineRule="auto"/>
      </w:pPr>
      <w:r>
        <w:separator/>
      </w:r>
    </w:p>
  </w:endnote>
  <w:endnote w:type="continuationSeparator" w:id="0">
    <w:p w14:paraId="79121E2C" w14:textId="77777777" w:rsidR="008C5F04" w:rsidRDefault="008C5F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7217" w14:textId="77777777" w:rsidR="008C5F04" w:rsidRDefault="008C5F04" w:rsidP="00EE7812">
      <w:pPr>
        <w:spacing w:after="0" w:line="240" w:lineRule="auto"/>
      </w:pPr>
      <w:r>
        <w:separator/>
      </w:r>
    </w:p>
  </w:footnote>
  <w:footnote w:type="continuationSeparator" w:id="0">
    <w:p w14:paraId="78757B78" w14:textId="77777777" w:rsidR="008C5F04" w:rsidRDefault="008C5F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4A8C3FB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553BC">
      <w:t>6</w:t>
    </w:r>
    <w:r w:rsidR="00294C5A">
      <w:t>8</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8C5F0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1573072">
    <w:abstractNumId w:val="0"/>
  </w:num>
  <w:num w:numId="2" w16cid:durableId="194778849">
    <w:abstractNumId w:val="20"/>
  </w:num>
  <w:num w:numId="3" w16cid:durableId="1647466014">
    <w:abstractNumId w:val="15"/>
  </w:num>
  <w:num w:numId="4" w16cid:durableId="1221206008">
    <w:abstractNumId w:val="2"/>
  </w:num>
  <w:num w:numId="5" w16cid:durableId="1074351101">
    <w:abstractNumId w:val="19"/>
  </w:num>
  <w:num w:numId="6" w16cid:durableId="1530558811">
    <w:abstractNumId w:val="34"/>
  </w:num>
  <w:num w:numId="7" w16cid:durableId="67534231">
    <w:abstractNumId w:val="13"/>
  </w:num>
  <w:num w:numId="8" w16cid:durableId="1986887670">
    <w:abstractNumId w:val="32"/>
  </w:num>
  <w:num w:numId="9" w16cid:durableId="426653502">
    <w:abstractNumId w:val="37"/>
  </w:num>
  <w:num w:numId="10" w16cid:durableId="610237396">
    <w:abstractNumId w:val="4"/>
  </w:num>
  <w:num w:numId="11" w16cid:durableId="578028969">
    <w:abstractNumId w:val="6"/>
  </w:num>
  <w:num w:numId="12" w16cid:durableId="829056119">
    <w:abstractNumId w:val="18"/>
  </w:num>
  <w:num w:numId="13" w16cid:durableId="1666711798">
    <w:abstractNumId w:val="21"/>
  </w:num>
  <w:num w:numId="14" w16cid:durableId="1954284310">
    <w:abstractNumId w:val="31"/>
  </w:num>
  <w:num w:numId="15" w16cid:durableId="1235748830">
    <w:abstractNumId w:val="9"/>
  </w:num>
  <w:num w:numId="16" w16cid:durableId="515118909">
    <w:abstractNumId w:val="7"/>
  </w:num>
  <w:num w:numId="17" w16cid:durableId="1950775186">
    <w:abstractNumId w:val="16"/>
  </w:num>
  <w:num w:numId="18" w16cid:durableId="1127313092">
    <w:abstractNumId w:val="30"/>
  </w:num>
  <w:num w:numId="19" w16cid:durableId="1995065750">
    <w:abstractNumId w:val="25"/>
  </w:num>
  <w:num w:numId="20" w16cid:durableId="447435551">
    <w:abstractNumId w:val="8"/>
  </w:num>
  <w:num w:numId="21" w16cid:durableId="1001355340">
    <w:abstractNumId w:val="26"/>
  </w:num>
  <w:num w:numId="22" w16cid:durableId="957882197">
    <w:abstractNumId w:val="27"/>
  </w:num>
  <w:num w:numId="23" w16cid:durableId="1055279368">
    <w:abstractNumId w:val="28"/>
  </w:num>
  <w:num w:numId="24" w16cid:durableId="1038623376">
    <w:abstractNumId w:val="33"/>
  </w:num>
  <w:num w:numId="25" w16cid:durableId="1213153175">
    <w:abstractNumId w:val="22"/>
  </w:num>
  <w:num w:numId="26" w16cid:durableId="1300644939">
    <w:abstractNumId w:val="14"/>
  </w:num>
  <w:num w:numId="27" w16cid:durableId="464663674">
    <w:abstractNumId w:val="5"/>
  </w:num>
  <w:num w:numId="28" w16cid:durableId="1390810512">
    <w:abstractNumId w:val="23"/>
  </w:num>
  <w:num w:numId="29" w16cid:durableId="948705357">
    <w:abstractNumId w:val="1"/>
  </w:num>
  <w:num w:numId="30" w16cid:durableId="1886133663">
    <w:abstractNumId w:val="24"/>
  </w:num>
  <w:num w:numId="31" w16cid:durableId="733965605">
    <w:abstractNumId w:val="29"/>
  </w:num>
  <w:num w:numId="32" w16cid:durableId="2053655160">
    <w:abstractNumId w:val="12"/>
  </w:num>
  <w:num w:numId="33" w16cid:durableId="629819768">
    <w:abstractNumId w:val="17"/>
  </w:num>
  <w:num w:numId="34" w16cid:durableId="1930964261">
    <w:abstractNumId w:val="3"/>
  </w:num>
  <w:num w:numId="35" w16cid:durableId="844630141">
    <w:abstractNumId w:val="35"/>
  </w:num>
  <w:num w:numId="36" w16cid:durableId="2007438068">
    <w:abstractNumId w:val="10"/>
  </w:num>
  <w:num w:numId="37" w16cid:durableId="1115832758">
    <w:abstractNumId w:val="11"/>
  </w:num>
  <w:num w:numId="38" w16cid:durableId="15168490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E57"/>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04"/>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DD"/>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IJEFM-07-2020-00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AA95-B90A-4F90-80EC-6C5D4DF9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2882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2022-09-17T21:32:00Z</dcterms:created>
  <dcterms:modified xsi:type="dcterms:W3CDTF">2022-09-17T21:32:00Z</dcterms:modified>
</cp:coreProperties>
</file>