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9701B" w14:textId="43AEBD22" w:rsidR="0020367E" w:rsidRPr="0020367E" w:rsidRDefault="0020367E" w:rsidP="0020367E">
      <w:pPr>
        <w:keepNext/>
        <w:framePr w:dropCap="drop" w:lines="3" w:wrap="around" w:vAnchor="text" w:hAnchor="text"/>
        <w:spacing w:after="0" w:line="926" w:lineRule="exact"/>
        <w:textAlignment w:val="baseline"/>
        <w:rPr>
          <w:position w:val="-9"/>
          <w:sz w:val="123"/>
          <w:lang w:val="en-US"/>
        </w:rPr>
      </w:pPr>
      <w:r w:rsidRPr="0020367E">
        <w:rPr>
          <w:position w:val="-9"/>
          <w:sz w:val="123"/>
          <w:lang w:val="en-US"/>
        </w:rPr>
        <w:t>L</w:t>
      </w:r>
    </w:p>
    <w:p w14:paraId="1D3A2566" w14:textId="3BCED539" w:rsidR="00E0785C" w:rsidRDefault="0020367E" w:rsidP="001A5418">
      <w:r w:rsidRPr="0020367E">
        <w:rPr>
          <w:lang w:val="en-US"/>
        </w:rPr>
        <w:t xml:space="preserve">uego de </w:t>
      </w:r>
      <w:proofErr w:type="spellStart"/>
      <w:r w:rsidRPr="0020367E">
        <w:rPr>
          <w:lang w:val="en-US"/>
        </w:rPr>
        <w:t>una</w:t>
      </w:r>
      <w:proofErr w:type="spellEnd"/>
      <w:r w:rsidRPr="0020367E">
        <w:rPr>
          <w:lang w:val="en-US"/>
        </w:rPr>
        <w:t xml:space="preserve"> </w:t>
      </w:r>
      <w:proofErr w:type="spellStart"/>
      <w:r w:rsidRPr="0020367E">
        <w:rPr>
          <w:lang w:val="en-US"/>
        </w:rPr>
        <w:t>tradición</w:t>
      </w:r>
      <w:proofErr w:type="spellEnd"/>
      <w:r w:rsidRPr="0020367E">
        <w:rPr>
          <w:lang w:val="en-US"/>
        </w:rPr>
        <w:t xml:space="preserve"> </w:t>
      </w:r>
      <w:proofErr w:type="spellStart"/>
      <w:r w:rsidRPr="0020367E">
        <w:rPr>
          <w:lang w:val="en-US"/>
        </w:rPr>
        <w:t>respecto</w:t>
      </w:r>
      <w:proofErr w:type="spellEnd"/>
      <w:r w:rsidRPr="0020367E">
        <w:rPr>
          <w:lang w:val="en-US"/>
        </w:rPr>
        <w:t xml:space="preserve"> de la </w:t>
      </w:r>
      <w:proofErr w:type="spellStart"/>
      <w:r w:rsidRPr="0020367E">
        <w:rPr>
          <w:lang w:val="en-US"/>
        </w:rPr>
        <w:t>sostenibilidad</w:t>
      </w:r>
      <w:proofErr w:type="spellEnd"/>
      <w:r w:rsidRPr="0020367E">
        <w:rPr>
          <w:lang w:val="en-US"/>
        </w:rPr>
        <w:t xml:space="preserve">, </w:t>
      </w:r>
      <w:hyperlink r:id="rId8" w:history="1">
        <w:r w:rsidRPr="0020367E">
          <w:rPr>
            <w:rStyle w:val="Hyperlink"/>
            <w:lang w:val="en-US"/>
          </w:rPr>
          <w:t xml:space="preserve">el IIA </w:t>
        </w:r>
        <w:proofErr w:type="spellStart"/>
        <w:r w:rsidRPr="0020367E">
          <w:rPr>
            <w:rStyle w:val="Hyperlink"/>
            <w:lang w:val="en-US"/>
          </w:rPr>
          <w:t>envió</w:t>
        </w:r>
        <w:proofErr w:type="spellEnd"/>
        <w:r w:rsidRPr="0020367E">
          <w:rPr>
            <w:rStyle w:val="Hyperlink"/>
            <w:lang w:val="en-US"/>
          </w:rPr>
          <w:t xml:space="preserve"> sus </w:t>
        </w:r>
        <w:proofErr w:type="spellStart"/>
        <w:r w:rsidRPr="0020367E">
          <w:rPr>
            <w:rStyle w:val="Hyperlink"/>
            <w:lang w:val="en-US"/>
          </w:rPr>
          <w:t>comentarios</w:t>
        </w:r>
        <w:proofErr w:type="spellEnd"/>
        <w:r w:rsidRPr="0020367E">
          <w:rPr>
            <w:rStyle w:val="Hyperlink"/>
            <w:lang w:val="en-US"/>
          </w:rPr>
          <w:t xml:space="preserve"> al ISSB</w:t>
        </w:r>
      </w:hyperlink>
      <w:r w:rsidRPr="0020367E">
        <w:rPr>
          <w:lang w:val="en-US"/>
        </w:rPr>
        <w:t xml:space="preserve"> </w:t>
      </w:r>
      <w:proofErr w:type="spellStart"/>
      <w:r w:rsidRPr="0020367E">
        <w:rPr>
          <w:lang w:val="en-US"/>
        </w:rPr>
        <w:t>resaltando</w:t>
      </w:r>
      <w:proofErr w:type="spellEnd"/>
      <w:r w:rsidRPr="0020367E">
        <w:rPr>
          <w:lang w:val="en-US"/>
        </w:rPr>
        <w:t xml:space="preserve"> </w:t>
      </w:r>
      <w:r w:rsidRPr="0020367E">
        <w:rPr>
          <w:i/>
          <w:lang w:val="en-US"/>
        </w:rPr>
        <w:t>“(…) the need for uniformity, consistency, and cross-comparability of disclosures</w:t>
      </w:r>
      <w:r w:rsidRPr="0020367E">
        <w:rPr>
          <w:lang w:val="en-US"/>
        </w:rPr>
        <w:t xml:space="preserve"> (…)” y </w:t>
      </w:r>
      <w:proofErr w:type="spellStart"/>
      <w:r w:rsidRPr="0020367E">
        <w:rPr>
          <w:lang w:val="en-US"/>
        </w:rPr>
        <w:t>enfatizando</w:t>
      </w:r>
      <w:proofErr w:type="spellEnd"/>
      <w:r w:rsidRPr="0020367E">
        <w:rPr>
          <w:lang w:val="en-US"/>
        </w:rPr>
        <w:t xml:space="preserve"> que “(…) </w:t>
      </w:r>
      <w:r w:rsidRPr="0020367E">
        <w:rPr>
          <w:i/>
          <w:lang w:val="en-US"/>
        </w:rPr>
        <w:t>we would support the eventual simplification to one set of disclosures to avoid duplication and encourage implementation. Two sets of standards may be confusing to the market</w:t>
      </w:r>
      <w:r w:rsidRPr="0020367E">
        <w:rPr>
          <w:lang w:val="en-US"/>
        </w:rPr>
        <w:t>.”</w:t>
      </w:r>
      <w:r>
        <w:rPr>
          <w:lang w:val="en-US"/>
        </w:rPr>
        <w:t xml:space="preserve"> </w:t>
      </w:r>
      <w:r w:rsidRPr="0020367E">
        <w:t>Estos comentarios propenden por una mejora en la redacción de los est</w:t>
      </w:r>
      <w:r>
        <w:t>ándares, lo que implica tener una gran competencia sobre la sostenibilidad y, al mismo tiempo, sobre la expresión escrita, que, como sabemos, se hace en inglés.</w:t>
      </w:r>
      <w:r w:rsidR="001A5418">
        <w:t xml:space="preserve"> El nuevo Consejo o Junta difundió versiones en español, a saber: </w:t>
      </w:r>
      <w:hyperlink r:id="rId9" w:history="1">
        <w:r w:rsidR="001A5418" w:rsidRPr="001A5418">
          <w:rPr>
            <w:rStyle w:val="Hyperlink"/>
          </w:rPr>
          <w:t>Proyecto de Norma sobre la NIIF S1 Requerimientos Generales para la Información a Revelar sobre Sostenibilidad relacionada con la Información Financiera</w:t>
        </w:r>
      </w:hyperlink>
      <w:r w:rsidR="001A5418">
        <w:t xml:space="preserve">, </w:t>
      </w:r>
      <w:hyperlink r:id="rId10" w:history="1">
        <w:r w:rsidR="001A5418" w:rsidRPr="001A5418">
          <w:rPr>
            <w:rStyle w:val="Hyperlink"/>
          </w:rPr>
          <w:t>Guía Ilustrativa sobre el Proyecto de Norma NIIF S1 Requerimientos Generales para la Información a Revelar sobre Sostenibilidad relacionada con la Información Financiera</w:t>
        </w:r>
      </w:hyperlink>
      <w:r w:rsidR="001A5418">
        <w:t xml:space="preserve">, </w:t>
      </w:r>
      <w:hyperlink r:id="rId11" w:history="1">
        <w:r w:rsidR="001A5418" w:rsidRPr="001A5418">
          <w:rPr>
            <w:rStyle w:val="Hyperlink"/>
          </w:rPr>
          <w:t>Fundamentos de las Conclusiones de [Proyecto] NIIF S1 Requerimientos Generales para la Información a Revelar sobre Sostenibilidad relacionada con la Información Financiera</w:t>
        </w:r>
      </w:hyperlink>
      <w:r w:rsidR="001A5418">
        <w:t xml:space="preserve">, </w:t>
      </w:r>
      <w:hyperlink r:id="rId12" w:history="1">
        <w:r w:rsidR="003528BF" w:rsidRPr="003528BF">
          <w:rPr>
            <w:rStyle w:val="Hyperlink"/>
          </w:rPr>
          <w:t>Proyecto de Norma NIIF S2 Información a Revelar relacionada con el Clima</w:t>
        </w:r>
      </w:hyperlink>
      <w:r w:rsidR="003528BF">
        <w:t xml:space="preserve">, </w:t>
      </w:r>
      <w:hyperlink r:id="rId13" w:history="1">
        <w:r w:rsidR="003528BF" w:rsidRPr="003528BF">
          <w:rPr>
            <w:rStyle w:val="Hyperlink"/>
          </w:rPr>
          <w:t>Proyecto de Norma NIIF Fundamentos de las Conclusiones del NIIF S2 Información a Revelar relacionada con el Clima</w:t>
        </w:r>
      </w:hyperlink>
      <w:r w:rsidR="00563872">
        <w:t xml:space="preserve">. Sin duda, como ellos mismos lo resaltan, los auditores internos podrán y, lo más seguro, tendrán un importante papel respecto de la sostenibilidad, advirtiendo que una cosa es defender la sostenibilidad y otra informar sobre lo que hace y se logra en </w:t>
      </w:r>
      <w:r w:rsidR="00563872">
        <w:t>esa materia. La búsqueda de cierta uniformidad ayudará a los preparadores y a los lectores de los informes. Al principio se obrará a título de prueba, hasta que las reacciones permitan decantar las exposiciones. Es importante tener en cuenta los hitos ocurridos en materia de información financiera, en la que hubo que propender por mayores revelaciones, pero luego se observó que había un exceso de literatura, lo que produjo un esfuerzo de sistematización y simplificación de lo informado, al tiempo que actualmente se discute sobre varios asuntos relacionados con la desagregación.</w:t>
      </w:r>
      <w:r w:rsidR="00D167DB">
        <w:t xml:space="preserve"> A muchos contadores les gusta contar con modelos, o “machotes” con espacios en blanco para rellenar.</w:t>
      </w:r>
      <w:r w:rsidR="00954F1B">
        <w:t xml:space="preserve"> Es entonces cuando se puede pensar en una fábrica de informes, que son preparados por expertos en su diligenciamiento pero que no están en capacidad de juzgar si lo dicho es lo más conveniente o acertado. Las formas o formularios son una estrategia que se usa en muchísimas actividades y no es una técnica solamente de los contadores. Ahorran mucho porque evitan volver a hacer lo hecho y protegen porque evitan que se cambien las expresiones sin intervención de los más expertos que suelen ser sus diseñadores. Tienen de negativo que la vida es muy diversa y, a veces, es necesario hacer cambios o adiciones, cuyo trámite es de los que solemos llamar “eternos”.</w:t>
      </w:r>
      <w:r w:rsidR="000638F7">
        <w:t xml:space="preserve"> El buen juicio de los líderes de los equipos, de los socios de calidad y del equipo mismo debe ser utilizado para no hacer de las formas un instrumento rígido que lleve al error.</w:t>
      </w:r>
    </w:p>
    <w:p w14:paraId="08D6BB0F" w14:textId="38B12256" w:rsidR="000638F7" w:rsidRPr="0020367E" w:rsidRDefault="000638F7" w:rsidP="000638F7">
      <w:pPr>
        <w:jc w:val="right"/>
      </w:pPr>
      <w:r>
        <w:rPr>
          <w:i/>
        </w:rPr>
        <w:t>Hernando Bermúdez Gó</w:t>
      </w:r>
      <w:r w:rsidRPr="001924A1">
        <w:rPr>
          <w:i/>
        </w:rPr>
        <w:t>mez</w:t>
      </w:r>
    </w:p>
    <w:sectPr w:rsidR="000638F7" w:rsidRPr="0020367E"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529A2" w14:textId="77777777" w:rsidR="00577C94" w:rsidRDefault="00577C94" w:rsidP="00EE7812">
      <w:pPr>
        <w:spacing w:after="0" w:line="240" w:lineRule="auto"/>
      </w:pPr>
      <w:r>
        <w:separator/>
      </w:r>
    </w:p>
  </w:endnote>
  <w:endnote w:type="continuationSeparator" w:id="0">
    <w:p w14:paraId="44B8B1F9" w14:textId="77777777" w:rsidR="00577C94" w:rsidRDefault="00577C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2F7" w14:textId="77777777" w:rsidR="00577C94" w:rsidRDefault="00577C94" w:rsidP="00EE7812">
      <w:pPr>
        <w:spacing w:after="0" w:line="240" w:lineRule="auto"/>
      </w:pPr>
      <w:r>
        <w:separator/>
      </w:r>
    </w:p>
  </w:footnote>
  <w:footnote w:type="continuationSeparator" w:id="0">
    <w:p w14:paraId="1FC7915F" w14:textId="77777777" w:rsidR="00577C94" w:rsidRDefault="00577C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A3881A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EA32F1">
      <w:t>9</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577C9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14381511">
    <w:abstractNumId w:val="0"/>
  </w:num>
  <w:num w:numId="2" w16cid:durableId="817846515">
    <w:abstractNumId w:val="20"/>
  </w:num>
  <w:num w:numId="3" w16cid:durableId="1239096712">
    <w:abstractNumId w:val="15"/>
  </w:num>
  <w:num w:numId="4" w16cid:durableId="1082725610">
    <w:abstractNumId w:val="2"/>
  </w:num>
  <w:num w:numId="5" w16cid:durableId="586577786">
    <w:abstractNumId w:val="19"/>
  </w:num>
  <w:num w:numId="6" w16cid:durableId="515533553">
    <w:abstractNumId w:val="34"/>
  </w:num>
  <w:num w:numId="7" w16cid:durableId="1000616177">
    <w:abstractNumId w:val="13"/>
  </w:num>
  <w:num w:numId="8" w16cid:durableId="1061295493">
    <w:abstractNumId w:val="32"/>
  </w:num>
  <w:num w:numId="9" w16cid:durableId="1191335122">
    <w:abstractNumId w:val="37"/>
  </w:num>
  <w:num w:numId="10" w16cid:durableId="935214974">
    <w:abstractNumId w:val="4"/>
  </w:num>
  <w:num w:numId="11" w16cid:durableId="1360276963">
    <w:abstractNumId w:val="6"/>
  </w:num>
  <w:num w:numId="12" w16cid:durableId="1821850459">
    <w:abstractNumId w:val="18"/>
  </w:num>
  <w:num w:numId="13" w16cid:durableId="1783648906">
    <w:abstractNumId w:val="21"/>
  </w:num>
  <w:num w:numId="14" w16cid:durableId="394553006">
    <w:abstractNumId w:val="31"/>
  </w:num>
  <w:num w:numId="15" w16cid:durableId="1118524447">
    <w:abstractNumId w:val="9"/>
  </w:num>
  <w:num w:numId="16" w16cid:durableId="563376343">
    <w:abstractNumId w:val="7"/>
  </w:num>
  <w:num w:numId="17" w16cid:durableId="1704745398">
    <w:abstractNumId w:val="16"/>
  </w:num>
  <w:num w:numId="18" w16cid:durableId="2119790775">
    <w:abstractNumId w:val="30"/>
  </w:num>
  <w:num w:numId="19" w16cid:durableId="996113442">
    <w:abstractNumId w:val="25"/>
  </w:num>
  <w:num w:numId="20" w16cid:durableId="1399589452">
    <w:abstractNumId w:val="8"/>
  </w:num>
  <w:num w:numId="21" w16cid:durableId="222064262">
    <w:abstractNumId w:val="26"/>
  </w:num>
  <w:num w:numId="22" w16cid:durableId="2071225567">
    <w:abstractNumId w:val="27"/>
  </w:num>
  <w:num w:numId="23" w16cid:durableId="1386441992">
    <w:abstractNumId w:val="28"/>
  </w:num>
  <w:num w:numId="24" w16cid:durableId="1819882547">
    <w:abstractNumId w:val="33"/>
  </w:num>
  <w:num w:numId="25" w16cid:durableId="1509171988">
    <w:abstractNumId w:val="22"/>
  </w:num>
  <w:num w:numId="26" w16cid:durableId="665522295">
    <w:abstractNumId w:val="14"/>
  </w:num>
  <w:num w:numId="27" w16cid:durableId="1649897210">
    <w:abstractNumId w:val="5"/>
  </w:num>
  <w:num w:numId="28" w16cid:durableId="1588805780">
    <w:abstractNumId w:val="23"/>
  </w:num>
  <w:num w:numId="29" w16cid:durableId="2076274089">
    <w:abstractNumId w:val="1"/>
  </w:num>
  <w:num w:numId="30" w16cid:durableId="284702357">
    <w:abstractNumId w:val="24"/>
  </w:num>
  <w:num w:numId="31" w16cid:durableId="1790203673">
    <w:abstractNumId w:val="29"/>
  </w:num>
  <w:num w:numId="32" w16cid:durableId="897671470">
    <w:abstractNumId w:val="12"/>
  </w:num>
  <w:num w:numId="33" w16cid:durableId="1331566253">
    <w:abstractNumId w:val="17"/>
  </w:num>
  <w:num w:numId="34" w16cid:durableId="125515767">
    <w:abstractNumId w:val="3"/>
  </w:num>
  <w:num w:numId="35" w16cid:durableId="978732675">
    <w:abstractNumId w:val="35"/>
  </w:num>
  <w:num w:numId="36" w16cid:durableId="1984264647">
    <w:abstractNumId w:val="10"/>
  </w:num>
  <w:num w:numId="37" w16cid:durableId="2009281391">
    <w:abstractNumId w:val="11"/>
  </w:num>
  <w:num w:numId="38" w16cid:durableId="6405783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94"/>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ADE"/>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EC5"/>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ia.org/en/content/communications/press-releases/2022/august/the-iia-responds-to-issbs-exposure-drafts-on-climate--and-sustainability-related-disclosures/" TargetMode="External"/><Relationship Id="rId13" Type="http://schemas.openxmlformats.org/officeDocument/2006/relationships/hyperlink" Target="https://www.ifrs.org/content/dam/ifrs/project/climate-related-disclosures/spanish/issb-exposure-draft-2022-2-basis-for-conclusions-climate-related-disclosures-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rs.org/content/dam/ifrs/project/climate-related-disclosures/spanish/es-issb-ed-s2-march-20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rs.org/content/dam/ifrs/project/general-sustainability-related-disclosures/spanish/es-issb-exposure-draft-2022-1-bfc.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frs.org/content/dam/ifrs/project/general-sustainability-related-disclosures/spanish/es-issb-exposure-draft-2022-1-ig.pdf" TargetMode="External"/><Relationship Id="rId4" Type="http://schemas.openxmlformats.org/officeDocument/2006/relationships/settings" Target="settings.xml"/><Relationship Id="rId9" Type="http://schemas.openxmlformats.org/officeDocument/2006/relationships/hyperlink" Target="https://www.ifrs.org/content/dam/ifrs/project/general-sustainability-related-disclosures/spanish/es-issb-exposure-draft-2022-s1-general-requirement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417B8-82CD-46EF-88B2-298321E3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3504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2022-10-01T21:07:00Z</dcterms:created>
  <dcterms:modified xsi:type="dcterms:W3CDTF">2022-10-01T21:07:00Z</dcterms:modified>
</cp:coreProperties>
</file>