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EE" w:rsidRPr="006C4BEE" w:rsidRDefault="006C4BEE" w:rsidP="006C4BE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6C4BEE">
        <w:rPr>
          <w:position w:val="-9"/>
          <w:sz w:val="123"/>
        </w:rPr>
        <w:t>E</w:t>
      </w:r>
    </w:p>
    <w:p w:rsidR="000B243D" w:rsidRPr="00146F37" w:rsidRDefault="000B243D" w:rsidP="000B243D">
      <w:r>
        <w:t xml:space="preserve">l derecho contable tiene como origen y finalidad la necesidad de proteger tanto a los socios como a terceros. Algunos discursos pronunciados en Colombia han planteado que si las entidades no están inscritas en bolsa no es indispensable una legislación protectora de terceros. Han prohijado el desmonte </w:t>
      </w:r>
      <w:r w:rsidR="00E13A4E">
        <w:t>del régimen</w:t>
      </w:r>
      <w:r>
        <w:t xml:space="preserve"> de mantenimiento del capital y el debilitamiento de reglas de prudencia </w:t>
      </w:r>
      <w:r w:rsidR="006C4BEE">
        <w:t>establecidas para gobernar</w:t>
      </w:r>
      <w:r>
        <w:t xml:space="preserve"> el manejo del endeudamiento y los resultados del ejercicio. Otra cosa muy diferente está sucediendo en Europa.</w:t>
      </w:r>
    </w:p>
    <w:p w:rsidR="00294172" w:rsidRDefault="006C4BEE" w:rsidP="00146F37">
      <w:r>
        <w:t>E</w:t>
      </w:r>
      <w:r w:rsidR="00146F37">
        <w:t xml:space="preserve">l proceso contable de la Unión Europea ha estado en el trasfondo de varios hitos legislativos en Colombia. </w:t>
      </w:r>
      <w:r w:rsidR="00EA48F7">
        <w:t>Al redactar t</w:t>
      </w:r>
      <w:r w:rsidR="00D52E70">
        <w:t xml:space="preserve">anto la </w:t>
      </w:r>
      <w:hyperlink r:id="rId8" w:history="1">
        <w:r w:rsidR="00D52E70" w:rsidRPr="00E24CD8">
          <w:rPr>
            <w:rStyle w:val="Hyperlink"/>
          </w:rPr>
          <w:t>Ley 222 de 1995</w:t>
        </w:r>
      </w:hyperlink>
      <w:r w:rsidR="00D52E70">
        <w:t xml:space="preserve"> como la </w:t>
      </w:r>
      <w:hyperlink r:id="rId9" w:history="1">
        <w:r w:rsidR="00D52E70" w:rsidRPr="001F7129">
          <w:rPr>
            <w:rStyle w:val="Hyperlink"/>
          </w:rPr>
          <w:t>Ley 1314 de 2009</w:t>
        </w:r>
      </w:hyperlink>
      <w:r w:rsidR="00D52E70">
        <w:t xml:space="preserve"> </w:t>
      </w:r>
      <w:r w:rsidR="00EA48F7">
        <w:t>se consideraron cuidadosamente</w:t>
      </w:r>
      <w:r w:rsidR="00D52E70">
        <w:t xml:space="preserve"> experiencias europeas, muy cercanas a nuestra forma de pensar y de actuar.</w:t>
      </w:r>
      <w:r w:rsidR="0047012A">
        <w:t xml:space="preserve"> La vitalidad del proceso en ese continente hace ineludible mantenerse al tanto de su devenir. En estos momentos se gestan reformas de fondo tanto en materia de contabilidad como de auditoría</w:t>
      </w:r>
      <w:r w:rsidR="00E24CD8">
        <w:t>, que pueden ser aprovechadas por los colombianos.</w:t>
      </w:r>
    </w:p>
    <w:p w:rsidR="00B327AE" w:rsidRDefault="00B327AE" w:rsidP="00B327AE">
      <w:r>
        <w:t xml:space="preserve">Desde octubre de 2011 se viene tramitando </w:t>
      </w:r>
      <w:r w:rsidR="006B44D3">
        <w:t>un proyecto</w:t>
      </w:r>
      <w:r>
        <w:t xml:space="preserve"> que “</w:t>
      </w:r>
      <w:r>
        <w:t>pretende</w:t>
      </w:r>
      <w:r>
        <w:t xml:space="preserve"> </w:t>
      </w:r>
      <w:r>
        <w:t>reducir las cargas administrativas, especialmente las de las pequeñas empresas,</w:t>
      </w:r>
      <w:r>
        <w:t xml:space="preserve"> </w:t>
      </w:r>
      <w:r>
        <w:t>aumentando la claridad y la comparabilidad de los estados financieros</w:t>
      </w:r>
      <w:r>
        <w:t>”.</w:t>
      </w:r>
      <w:r w:rsidR="00113218">
        <w:t xml:space="preserve"> El pasado mes de abril se publicó el texto de la “</w:t>
      </w:r>
      <w:hyperlink r:id="rId10" w:history="1">
        <w:r w:rsidR="00113218" w:rsidRPr="006B44D3">
          <w:rPr>
            <w:rStyle w:val="Hyperlink"/>
          </w:rPr>
          <w:t xml:space="preserve">Propuesta de Directiva del Parlamento Europeo y del Consejo sobre los estados financieros anuales, los estados financieros consolidados y otros informes </w:t>
        </w:r>
        <w:r w:rsidR="00113218" w:rsidRPr="006B44D3">
          <w:rPr>
            <w:rStyle w:val="Hyperlink"/>
          </w:rPr>
          <w:lastRenderedPageBreak/>
          <w:t>afines de ciertos tipos de empresas (Directiva sobre contabilidad)</w:t>
        </w:r>
      </w:hyperlink>
      <w:r w:rsidR="00113218">
        <w:t>”</w:t>
      </w:r>
      <w:r w:rsidR="00921E89">
        <w:t>.</w:t>
      </w:r>
    </w:p>
    <w:p w:rsidR="00803941" w:rsidRDefault="009B51F3" w:rsidP="009B51F3">
      <w:r>
        <w:t>En sus considerandos la propuesta sostiene: “</w:t>
      </w:r>
      <w:r>
        <w:t>Los estados financieros anuales elaborados con arreglo al principio de prudencia deben</w:t>
      </w:r>
      <w:r w:rsidR="00803941">
        <w:t xml:space="preserve"> </w:t>
      </w:r>
      <w:r>
        <w:t>ofrecer una imagen fiel de la situación financiera de la empresa. Los estados financieros</w:t>
      </w:r>
      <w:r w:rsidR="00803941">
        <w:t xml:space="preserve"> </w:t>
      </w:r>
      <w:r>
        <w:t>anuales persiguen objetivos diversos y no se limitan a facilitar información a inversores</w:t>
      </w:r>
      <w:r w:rsidR="00803941">
        <w:t xml:space="preserve"> </w:t>
      </w:r>
      <w:r>
        <w:t>en los mercados de capitales, sino que dan cuenta de las transacciones efectuadas y</w:t>
      </w:r>
      <w:r w:rsidR="00803941">
        <w:t xml:space="preserve"> </w:t>
      </w:r>
      <w:r>
        <w:t>fomentan la gobernanza empresarial. La legislación de la Unión en materia de</w:t>
      </w:r>
      <w:r w:rsidR="00803941">
        <w:t xml:space="preserve"> </w:t>
      </w:r>
      <w:r>
        <w:t>contabilidad debe esforzarse por hallar un equilibrio adecuado entre los intereses de los</w:t>
      </w:r>
      <w:r w:rsidR="00803941">
        <w:t xml:space="preserve"> </w:t>
      </w:r>
      <w:r>
        <w:t>destinatarios de los estados financieros y el interés de las empresas en no soportar una</w:t>
      </w:r>
      <w:r w:rsidR="00803941">
        <w:t xml:space="preserve"> </w:t>
      </w:r>
      <w:r>
        <w:t>carga indebida por cumplir los requisitos de información.</w:t>
      </w:r>
      <w:r w:rsidR="00803941">
        <w:t>”</w:t>
      </w:r>
      <w:r w:rsidR="00004C44">
        <w:t xml:space="preserve">. </w:t>
      </w:r>
      <w:r w:rsidR="00803941">
        <w:t>Tal vez la prudencia no ha muerto. Tal vez el mercado de capitales no es el único referente del sistema contable</w:t>
      </w:r>
      <w:r w:rsidR="00D34C0B">
        <w:t>.</w:t>
      </w:r>
      <w:r w:rsidR="00803941">
        <w:t xml:space="preserve"> Tal vez el sistema </w:t>
      </w:r>
      <w:r w:rsidR="00D34C0B">
        <w:t>contable debe servir a la empresa respectiva y no solamente a sus acreedores.</w:t>
      </w:r>
    </w:p>
    <w:p w:rsidR="00A850B7" w:rsidRDefault="00A850B7" w:rsidP="00A850B7">
      <w:r>
        <w:t>Por otra parte, también en dichos considerandos se precisa “</w:t>
      </w:r>
      <w:r>
        <w:t>La exclusión de las empresas sin ánimo de lucro del ámbito de aplicación de la presente</w:t>
      </w:r>
      <w:r>
        <w:t xml:space="preserve"> </w:t>
      </w:r>
      <w:r>
        <w:t>Directiva resulta coherente con la finalidad de la misma, de acuerdo con el artículo 50,</w:t>
      </w:r>
      <w:r>
        <w:t xml:space="preserve"> </w:t>
      </w:r>
      <w:r>
        <w:t>apartado 2, letra g) del Tratado.</w:t>
      </w:r>
      <w:r>
        <w:t>”</w:t>
      </w:r>
      <w:r w:rsidR="00004C44">
        <w:t xml:space="preserve">. </w:t>
      </w:r>
      <w:r>
        <w:t>Tal vez las ESAL no deben tratarse como empresas de “negocios”.</w:t>
      </w:r>
    </w:p>
    <w:p w:rsidR="00A850B7" w:rsidRDefault="00004C44" w:rsidP="00A850B7">
      <w:r>
        <w:t>Una “vuelta” por Europa puede ayudar a concebir mejor lo que debemos hacer en Colombia.</w:t>
      </w:r>
    </w:p>
    <w:p w:rsidR="00004C44" w:rsidRPr="00004C44" w:rsidRDefault="00004C44" w:rsidP="00004C44">
      <w:pPr>
        <w:jc w:val="right"/>
        <w:rPr>
          <w:i/>
        </w:rPr>
      </w:pPr>
      <w:r w:rsidRPr="00004C44">
        <w:rPr>
          <w:i/>
        </w:rPr>
        <w:t>Hernando Bermúdez Gómez</w:t>
      </w:r>
      <w:bookmarkStart w:id="0" w:name="_GoBack"/>
      <w:bookmarkEnd w:id="0"/>
    </w:p>
    <w:sectPr w:rsidR="00004C44" w:rsidRPr="00004C44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8C" w:rsidRDefault="00610A8C" w:rsidP="00EE7812">
      <w:pPr>
        <w:spacing w:after="0" w:line="240" w:lineRule="auto"/>
      </w:pPr>
      <w:r>
        <w:separator/>
      </w:r>
    </w:p>
  </w:endnote>
  <w:endnote w:type="continuationSeparator" w:id="0">
    <w:p w:rsidR="00610A8C" w:rsidRDefault="00610A8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8C" w:rsidRDefault="00610A8C" w:rsidP="00EE7812">
      <w:pPr>
        <w:spacing w:after="0" w:line="240" w:lineRule="auto"/>
      </w:pPr>
      <w:r>
        <w:separator/>
      </w:r>
    </w:p>
  </w:footnote>
  <w:footnote w:type="continuationSeparator" w:id="0">
    <w:p w:rsidR="00610A8C" w:rsidRDefault="00610A8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0C5181">
      <w:t>6</w:t>
    </w:r>
    <w:r w:rsidR="00146F37">
      <w:t>92</w:t>
    </w:r>
    <w:r w:rsidR="00667D4D">
      <w:t>,</w:t>
    </w:r>
    <w:r w:rsidR="009D09BB">
      <w:t xml:space="preserve"> </w:t>
    </w:r>
    <w:r w:rsidR="005D0B93">
      <w:t>mayo</w:t>
    </w:r>
    <w:r w:rsidR="00593C82">
      <w:t xml:space="preserve"> </w:t>
    </w:r>
    <w:r w:rsidR="00146F37">
      <w:t>14</w:t>
    </w:r>
    <w:r w:rsidR="0005771D">
      <w:t xml:space="preserve"> </w:t>
    </w:r>
    <w:r w:rsidR="0080786C">
      <w:t>de 201</w:t>
    </w:r>
    <w:r w:rsidR="00EB30A7">
      <w:t>3</w:t>
    </w:r>
  </w:p>
  <w:p w:rsidR="0046164F" w:rsidRDefault="00610A8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5030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95-ley-222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register.consilium.europa.eu/pdf/es/13/st08/st08328.es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5DEC-2753-4E45-9892-53047E55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492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11</cp:revision>
  <cp:lastPrinted>2011-08-23T16:28:00Z</cp:lastPrinted>
  <dcterms:created xsi:type="dcterms:W3CDTF">2013-05-13T22:21:00Z</dcterms:created>
  <dcterms:modified xsi:type="dcterms:W3CDTF">2013-05-13T22:55:00Z</dcterms:modified>
</cp:coreProperties>
</file>