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838EF" w14:textId="0EC7679E" w:rsidR="005E6F09" w:rsidRPr="005E6F09" w:rsidRDefault="005E6F09" w:rsidP="005E6F09">
      <w:pPr>
        <w:keepNext/>
        <w:framePr w:dropCap="drop" w:lines="3" w:wrap="around" w:vAnchor="text" w:hAnchor="text"/>
        <w:spacing w:after="0" w:line="926" w:lineRule="exact"/>
        <w:textAlignment w:val="baseline"/>
        <w:rPr>
          <w:position w:val="-9"/>
          <w:sz w:val="123"/>
          <w:lang w:val="en-US"/>
        </w:rPr>
      </w:pPr>
      <w:r w:rsidRPr="005E6F09">
        <w:rPr>
          <w:position w:val="-9"/>
          <w:sz w:val="123"/>
          <w:lang w:val="en-US"/>
        </w:rPr>
        <w:t>E</w:t>
      </w:r>
    </w:p>
    <w:p w14:paraId="70137612" w14:textId="301F053E" w:rsidR="0023437D" w:rsidRDefault="009B4584" w:rsidP="00AE081F">
      <w:r w:rsidRPr="005E6F09">
        <w:rPr>
          <w:lang w:val="en-US"/>
        </w:rPr>
        <w:t xml:space="preserve">n </w:t>
      </w:r>
      <w:hyperlink r:id="rId8" w:history="1">
        <w:r w:rsidRPr="005E6F09">
          <w:rPr>
            <w:rStyle w:val="Hyperlink"/>
            <w:i/>
            <w:lang w:val="en-US"/>
          </w:rPr>
          <w:t>The Impact of Takeover Strategy on the Distortion of Reported Earnings in Target Firms</w:t>
        </w:r>
      </w:hyperlink>
      <w:r w:rsidR="00AE081F" w:rsidRPr="005E6F09">
        <w:rPr>
          <w:lang w:val="en-US"/>
        </w:rPr>
        <w:t xml:space="preserve">, </w:t>
      </w:r>
      <w:r w:rsidR="00AE081F">
        <w:rPr>
          <w:lang w:val="en-US"/>
        </w:rPr>
        <w:t xml:space="preserve">escrito por </w:t>
      </w:r>
      <w:r w:rsidRPr="009B4584">
        <w:t>محمد</w:t>
      </w:r>
      <w:r w:rsidRPr="009B4584">
        <w:rPr>
          <w:lang w:val="en-US"/>
        </w:rPr>
        <w:t xml:space="preserve"> </w:t>
      </w:r>
      <w:r w:rsidRPr="009B4584">
        <w:t>حسن</w:t>
      </w:r>
      <w:r w:rsidRPr="009B4584">
        <w:rPr>
          <w:rFonts w:hint="cs"/>
        </w:rPr>
        <w:t>ی</w:t>
      </w:r>
      <w:r w:rsidR="00AE081F">
        <w:rPr>
          <w:lang w:val="en-US"/>
        </w:rPr>
        <w:t xml:space="preserve">, publicado por </w:t>
      </w:r>
      <w:r w:rsidRPr="00AE081F">
        <w:rPr>
          <w:i/>
          <w:lang w:val="en-US"/>
        </w:rPr>
        <w:t>Journal of Financial Accounting Research</w:t>
      </w:r>
      <w:r w:rsidR="00AE081F">
        <w:rPr>
          <w:lang w:val="en-US"/>
        </w:rPr>
        <w:t xml:space="preserve">, </w:t>
      </w:r>
      <w:r w:rsidRPr="009B4584">
        <w:rPr>
          <w:lang w:val="en-US"/>
        </w:rPr>
        <w:t xml:space="preserve">2021, Vol. 13 Issue 4, Preceding p1-22. </w:t>
      </w:r>
      <w:r w:rsidR="00AE081F">
        <w:rPr>
          <w:lang w:val="en-US"/>
        </w:rPr>
        <w:t>23p,</w:t>
      </w:r>
      <w:r w:rsidRPr="00AE081F">
        <w:rPr>
          <w:lang w:val="en-US"/>
        </w:rPr>
        <w:t xml:space="preserve"> Languag</w:t>
      </w:r>
      <w:r w:rsidR="00AE081F">
        <w:rPr>
          <w:lang w:val="en-US"/>
        </w:rPr>
        <w:t>e: Persian,</w:t>
      </w:r>
      <w:r w:rsidRPr="00AE081F">
        <w:rPr>
          <w:lang w:val="en-US"/>
        </w:rPr>
        <w:t xml:space="preserve"> </w:t>
      </w:r>
      <w:r w:rsidR="00AE081F">
        <w:rPr>
          <w:lang w:val="en-US"/>
        </w:rPr>
        <w:t>se lee</w:t>
      </w:r>
      <w:r w:rsidRPr="00AE081F">
        <w:rPr>
          <w:lang w:val="en-US"/>
        </w:rPr>
        <w:t xml:space="preserve">: </w:t>
      </w:r>
      <w:r w:rsidR="00AE081F">
        <w:rPr>
          <w:lang w:val="en-US"/>
        </w:rPr>
        <w:t>“</w:t>
      </w:r>
      <w:r w:rsidR="00AE081F" w:rsidRPr="00AE081F">
        <w:rPr>
          <w:i/>
          <w:lang w:val="en-US"/>
        </w:rPr>
        <w:t>This research analytically investigated the impact of takeover strategy on the distortion of reported earnings through accrual and real activities based on earnings management in target firms. The hypotheses were analyzed through multivariate regression models using panel data with a fixed effect and via the generalized least squares method. The research population included 166 firms listed in Tehran Securities Exchange over the period of 2014 to 2018. The results showed that the managers in the target firms faced with a takeover and inflated earnings through discretionary accruals and real activities. The research findings indicated that takeover had a significant and positive impact on both accrual and real earnings management in the target firms. Also, it had a significant and positive impact on the abnormal products as the criteria of real earnings management; however, abnormal operating cash flows and abnormal discretionary expenditure as the proxies of real earnings management were not affected by takeover in the mentioned firms</w:t>
      </w:r>
      <w:r w:rsidR="00AE081F" w:rsidRPr="00AE081F">
        <w:rPr>
          <w:lang w:val="en-US"/>
        </w:rPr>
        <w:t>.</w:t>
      </w:r>
      <w:r w:rsidR="00AE081F">
        <w:rPr>
          <w:lang w:val="en-US"/>
        </w:rPr>
        <w:t>”</w:t>
      </w:r>
      <w:r w:rsidR="005E6F09">
        <w:rPr>
          <w:lang w:val="en-US"/>
        </w:rPr>
        <w:t xml:space="preserve"> </w:t>
      </w:r>
      <w:r w:rsidR="005E6F09" w:rsidRPr="005E6F09">
        <w:t xml:space="preserve">En tiempos de calma, muchas empresas llevan su </w:t>
      </w:r>
      <w:r w:rsidR="000B2FF4">
        <w:t>c</w:t>
      </w:r>
      <w:r w:rsidR="005E6F09" w:rsidRPr="005E6F09">
        <w:t xml:space="preserve">ontabilidad procurando el </w:t>
      </w:r>
      <w:r w:rsidR="005E6F09">
        <w:t>menor valor de los impuestos, tasas y contribuciones que se liquidan a partir de ella. Pero fenómenos económicos como el cambio de control, las ofertas públicas de adquisición, las fusiones, escisiones, transformaciones</w:t>
      </w:r>
      <w:r w:rsidR="000B2FF4">
        <w:t xml:space="preserve">, la obtención de créditos, la captación de nuevos recursos, convertibles o no en capital, la venta de establecimientos </w:t>
      </w:r>
      <w:r w:rsidR="000B2FF4">
        <w:t>de comercio, las hipotecas o prendas, las garantías mobiliarias, provocan que los preparadores hagan muchos ajustes a sus cifras, bien sea a nivel de cuenta o subcuenta, bien sea respecto de su medición o valoración. Pueden aparecer o desaparecer diferidos. Contingentes pueden mostrarse como pasivos. Es claro que los preparadores no se limitan a divulgar fotografías de las empresas, sino que utilizan todos los recursos de edición disponibles para que la imagen produzca la representación que les interesa.</w:t>
      </w:r>
      <w:r w:rsidR="003A224C">
        <w:t xml:space="preserve"> Poco tienen que decir los contadores cuando las cosas se presentan como corrección de errores o ajuste de estimaciones. En materia tributaria pasan cosas similares, como son los efectos del impuesto a las ganancias ocasionales. </w:t>
      </w:r>
      <w:r w:rsidR="004711AF">
        <w:t>La existencia de marcos de trabajo, de reglas para el reconocimiento, medición presentación y revelación, de estándares para la realización de exámenes de comprobación, son mecanismos por los cuales se intenta hacer posible una visión objetiva de la información, es decir, lo más parecida para muchos. Bien se sabe que tantas normas no dejan sin efecto ni aplican preferencialmente sobre la verdad, la realidad económica. Antes bien, por mostrar la verdad se dejan de aplicar las normas que lo impidan.</w:t>
      </w:r>
      <w:r w:rsidR="00406545">
        <w:t xml:space="preserve"> Así las cosas, la información apareja un culto a la verdad, haciendo que tengan un gran impacto de la ética. Según la Ley 43 de 1990, “</w:t>
      </w:r>
      <w:r w:rsidR="00406545" w:rsidRPr="00406545">
        <w:rPr>
          <w:i/>
        </w:rPr>
        <w:t>Los principios éticos que rigen la conducta profesional de los Contadores Públicos no se diferencian sustancialmente de los que regulan la de otros miembros de la sociedad.</w:t>
      </w:r>
      <w:r w:rsidR="00406545">
        <w:t>”</w:t>
      </w:r>
    </w:p>
    <w:p w14:paraId="5CA1B0A7" w14:textId="4FD55D6C" w:rsidR="00406545" w:rsidRPr="005E6F09" w:rsidRDefault="00406545" w:rsidP="00406545">
      <w:pPr>
        <w:jc w:val="right"/>
      </w:pPr>
      <w:r>
        <w:rPr>
          <w:i/>
        </w:rPr>
        <w:t>Hernando Bermúdez Gó</w:t>
      </w:r>
      <w:r w:rsidRPr="001924A1">
        <w:rPr>
          <w:i/>
        </w:rPr>
        <w:t>mez</w:t>
      </w:r>
    </w:p>
    <w:sectPr w:rsidR="00406545" w:rsidRPr="005E6F0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B4ACC" w14:textId="77777777" w:rsidR="00C33A17" w:rsidRDefault="00C33A17" w:rsidP="00EE7812">
      <w:pPr>
        <w:spacing w:after="0" w:line="240" w:lineRule="auto"/>
      </w:pPr>
      <w:r>
        <w:separator/>
      </w:r>
    </w:p>
  </w:endnote>
  <w:endnote w:type="continuationSeparator" w:id="0">
    <w:p w14:paraId="45030224" w14:textId="77777777" w:rsidR="00C33A17" w:rsidRDefault="00C33A1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12E90DE1"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BA5FC" w14:textId="77777777" w:rsidR="00C33A17" w:rsidRDefault="00C33A17" w:rsidP="00EE7812">
      <w:pPr>
        <w:spacing w:after="0" w:line="240" w:lineRule="auto"/>
      </w:pPr>
      <w:r>
        <w:separator/>
      </w:r>
    </w:p>
  </w:footnote>
  <w:footnote w:type="continuationSeparator" w:id="0">
    <w:p w14:paraId="62599E06" w14:textId="77777777" w:rsidR="00C33A17" w:rsidRDefault="00C33A1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7AE6" w14:textId="77777777" w:rsidR="00AE081F"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ECB3AD7" w14:textId="77777777" w:rsidR="00AE081F"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0660032" w14:textId="77777777" w:rsidR="00AE081F"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FC6878">
      <w:t>34</w:t>
    </w:r>
    <w:r>
      <w:t>,</w:t>
    </w:r>
    <w:r w:rsidR="00AD1603">
      <w:t xml:space="preserve"> </w:t>
    </w:r>
    <w:r w:rsidR="00E40860">
      <w:t>1</w:t>
    </w:r>
    <w:r w:rsidR="00EA0220">
      <w:t>7</w:t>
    </w:r>
    <w:r w:rsidR="009365CF">
      <w:t xml:space="preserve"> de </w:t>
    </w:r>
    <w:r w:rsidR="00424747">
      <w:t>octubre</w:t>
    </w:r>
    <w:r w:rsidR="00AD1603">
      <w:t xml:space="preserve"> </w:t>
    </w:r>
    <w:r>
      <w:t>de</w:t>
    </w:r>
    <w:r w:rsidR="00AD1603">
      <w:t xml:space="preserve"> </w:t>
    </w:r>
    <w:r>
      <w:t>202</w:t>
    </w:r>
    <w:r w:rsidR="00792932">
      <w:t>2</w:t>
    </w:r>
  </w:p>
  <w:p w14:paraId="54525EF7" w14:textId="2E95153A" w:rsidR="00684621" w:rsidRDefault="00C33A1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7226870">
    <w:abstractNumId w:val="0"/>
  </w:num>
  <w:num w:numId="2" w16cid:durableId="903756312">
    <w:abstractNumId w:val="20"/>
  </w:num>
  <w:num w:numId="3" w16cid:durableId="901259329">
    <w:abstractNumId w:val="15"/>
  </w:num>
  <w:num w:numId="4" w16cid:durableId="1464152150">
    <w:abstractNumId w:val="2"/>
  </w:num>
  <w:num w:numId="5" w16cid:durableId="234171717">
    <w:abstractNumId w:val="19"/>
  </w:num>
  <w:num w:numId="6" w16cid:durableId="409549030">
    <w:abstractNumId w:val="34"/>
  </w:num>
  <w:num w:numId="7" w16cid:durableId="599876803">
    <w:abstractNumId w:val="13"/>
  </w:num>
  <w:num w:numId="8" w16cid:durableId="1219897754">
    <w:abstractNumId w:val="32"/>
  </w:num>
  <w:num w:numId="9" w16cid:durableId="1391613601">
    <w:abstractNumId w:val="37"/>
  </w:num>
  <w:num w:numId="10" w16cid:durableId="249630135">
    <w:abstractNumId w:val="4"/>
  </w:num>
  <w:num w:numId="11" w16cid:durableId="2099789645">
    <w:abstractNumId w:val="6"/>
  </w:num>
  <w:num w:numId="12" w16cid:durableId="1851722499">
    <w:abstractNumId w:val="18"/>
  </w:num>
  <w:num w:numId="13" w16cid:durableId="798062639">
    <w:abstractNumId w:val="21"/>
  </w:num>
  <w:num w:numId="14" w16cid:durableId="314991081">
    <w:abstractNumId w:val="31"/>
  </w:num>
  <w:num w:numId="15" w16cid:durableId="117143985">
    <w:abstractNumId w:val="9"/>
  </w:num>
  <w:num w:numId="16" w16cid:durableId="1530144336">
    <w:abstractNumId w:val="7"/>
  </w:num>
  <w:num w:numId="17" w16cid:durableId="1229851520">
    <w:abstractNumId w:val="16"/>
  </w:num>
  <w:num w:numId="18" w16cid:durableId="128135879">
    <w:abstractNumId w:val="30"/>
  </w:num>
  <w:num w:numId="19" w16cid:durableId="768964154">
    <w:abstractNumId w:val="25"/>
  </w:num>
  <w:num w:numId="20" w16cid:durableId="914825024">
    <w:abstractNumId w:val="8"/>
  </w:num>
  <w:num w:numId="21" w16cid:durableId="1525512865">
    <w:abstractNumId w:val="26"/>
  </w:num>
  <w:num w:numId="22" w16cid:durableId="2113890936">
    <w:abstractNumId w:val="27"/>
  </w:num>
  <w:num w:numId="23" w16cid:durableId="1706903356">
    <w:abstractNumId w:val="28"/>
  </w:num>
  <w:num w:numId="24" w16cid:durableId="2135368109">
    <w:abstractNumId w:val="33"/>
  </w:num>
  <w:num w:numId="25" w16cid:durableId="113645776">
    <w:abstractNumId w:val="22"/>
  </w:num>
  <w:num w:numId="26" w16cid:durableId="1350913561">
    <w:abstractNumId w:val="14"/>
  </w:num>
  <w:num w:numId="27" w16cid:durableId="1962228164">
    <w:abstractNumId w:val="5"/>
  </w:num>
  <w:num w:numId="28" w16cid:durableId="982268615">
    <w:abstractNumId w:val="23"/>
  </w:num>
  <w:num w:numId="29" w16cid:durableId="844172707">
    <w:abstractNumId w:val="1"/>
  </w:num>
  <w:num w:numId="30" w16cid:durableId="581640382">
    <w:abstractNumId w:val="24"/>
  </w:num>
  <w:num w:numId="31" w16cid:durableId="712583254">
    <w:abstractNumId w:val="29"/>
  </w:num>
  <w:num w:numId="32" w16cid:durableId="396049155">
    <w:abstractNumId w:val="12"/>
  </w:num>
  <w:num w:numId="33" w16cid:durableId="1826121756">
    <w:abstractNumId w:val="17"/>
  </w:num>
  <w:num w:numId="34" w16cid:durableId="1586185251">
    <w:abstractNumId w:val="3"/>
  </w:num>
  <w:num w:numId="35" w16cid:durableId="1111585764">
    <w:abstractNumId w:val="35"/>
  </w:num>
  <w:num w:numId="36" w16cid:durableId="753556449">
    <w:abstractNumId w:val="10"/>
  </w:num>
  <w:num w:numId="37" w16cid:durableId="856891491">
    <w:abstractNumId w:val="11"/>
  </w:num>
  <w:num w:numId="38" w16cid:durableId="874125854">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B93"/>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A4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8B0"/>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17"/>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20.1001.1.20087691.1400.13.4.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82BF6-57BA-42EA-BC4F-34091D74B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2899</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2022-10-15T22:14:00Z</dcterms:created>
  <dcterms:modified xsi:type="dcterms:W3CDTF">2022-10-15T22:14:00Z</dcterms:modified>
</cp:coreProperties>
</file>