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CDE4" w14:textId="29359A8F" w:rsidR="00DD09EB" w:rsidRPr="00DD09EB" w:rsidRDefault="00DD09EB" w:rsidP="00DD09E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D09EB">
        <w:rPr>
          <w:position w:val="-9"/>
          <w:sz w:val="123"/>
        </w:rPr>
        <w:t>E</w:t>
      </w:r>
    </w:p>
    <w:p w14:paraId="5CA1B0A7" w14:textId="7290A3AC" w:rsidR="00406545" w:rsidRDefault="00095F7A" w:rsidP="00C5257F">
      <w:r>
        <w:t xml:space="preserve">n el artículo </w:t>
      </w:r>
      <w:proofErr w:type="spellStart"/>
      <w:r w:rsidRPr="00DD09EB">
        <w:rPr>
          <w:i/>
          <w:iCs/>
        </w:rPr>
        <w:t>Nível</w:t>
      </w:r>
      <w:proofErr w:type="spellEnd"/>
      <w:r w:rsidRPr="00DD09EB">
        <w:rPr>
          <w:i/>
          <w:iCs/>
        </w:rPr>
        <w:t xml:space="preserve"> de </w:t>
      </w:r>
      <w:proofErr w:type="spellStart"/>
      <w:r w:rsidRPr="00DD09EB">
        <w:rPr>
          <w:i/>
          <w:iCs/>
        </w:rPr>
        <w:t>aderência</w:t>
      </w:r>
      <w:proofErr w:type="spellEnd"/>
      <w:r w:rsidRPr="00DD09EB">
        <w:rPr>
          <w:i/>
          <w:iCs/>
        </w:rPr>
        <w:t xml:space="preserve"> das empresas brasileiras listadas do </w:t>
      </w:r>
      <w:proofErr w:type="spellStart"/>
      <w:r w:rsidRPr="00DD09EB">
        <w:rPr>
          <w:i/>
          <w:iCs/>
        </w:rPr>
        <w:t>setor</w:t>
      </w:r>
      <w:proofErr w:type="spellEnd"/>
      <w:r w:rsidRPr="00DD09EB">
        <w:rPr>
          <w:i/>
          <w:iCs/>
        </w:rPr>
        <w:t xml:space="preserve"> de </w:t>
      </w:r>
      <w:proofErr w:type="spellStart"/>
      <w:r w:rsidRPr="00DD09EB">
        <w:rPr>
          <w:i/>
          <w:iCs/>
        </w:rPr>
        <w:t>telecomunicações</w:t>
      </w:r>
      <w:proofErr w:type="spellEnd"/>
      <w:r w:rsidRPr="00DD09EB">
        <w:rPr>
          <w:i/>
          <w:iCs/>
        </w:rPr>
        <w:t xml:space="preserve"> </w:t>
      </w:r>
      <w:proofErr w:type="spellStart"/>
      <w:r w:rsidRPr="00DD09EB">
        <w:rPr>
          <w:i/>
          <w:iCs/>
        </w:rPr>
        <w:t>ao</w:t>
      </w:r>
      <w:proofErr w:type="spellEnd"/>
      <w:r w:rsidRPr="00DD09EB">
        <w:rPr>
          <w:i/>
          <w:iCs/>
        </w:rPr>
        <w:t xml:space="preserve"> </w:t>
      </w:r>
      <w:proofErr w:type="spellStart"/>
      <w:r w:rsidRPr="00DD09EB">
        <w:rPr>
          <w:i/>
          <w:iCs/>
        </w:rPr>
        <w:t>pronunciamento</w:t>
      </w:r>
      <w:proofErr w:type="spellEnd"/>
      <w:r w:rsidRPr="00DD09EB">
        <w:rPr>
          <w:i/>
          <w:iCs/>
        </w:rPr>
        <w:t xml:space="preserve"> </w:t>
      </w:r>
      <w:proofErr w:type="spellStart"/>
      <w:r w:rsidRPr="00DD09EB">
        <w:rPr>
          <w:i/>
          <w:iCs/>
        </w:rPr>
        <w:t>contábil</w:t>
      </w:r>
      <w:proofErr w:type="spellEnd"/>
      <w:r w:rsidRPr="00DD09EB">
        <w:rPr>
          <w:i/>
          <w:iCs/>
        </w:rPr>
        <w:t xml:space="preserve"> CPC 47</w:t>
      </w:r>
      <w:r w:rsidR="00DD09EB">
        <w:t xml:space="preserve">, escrito por </w:t>
      </w:r>
      <w:r w:rsidRPr="00095F7A">
        <w:t>Rafael Xavier de Oliveira</w:t>
      </w:r>
      <w:r>
        <w:t xml:space="preserve">, </w:t>
      </w:r>
      <w:r w:rsidRPr="00095F7A">
        <w:t xml:space="preserve">Thais Mota </w:t>
      </w:r>
      <w:proofErr w:type="spellStart"/>
      <w:r w:rsidRPr="00095F7A">
        <w:t>Crabbi</w:t>
      </w:r>
      <w:proofErr w:type="spellEnd"/>
      <w:r>
        <w:t xml:space="preserve"> &amp;</w:t>
      </w:r>
      <w:r w:rsidRPr="00095F7A">
        <w:t>Jomar Miranda Rodrigues</w:t>
      </w:r>
      <w:r>
        <w:t xml:space="preserve">, </w:t>
      </w:r>
      <w:r w:rsidR="00DD09EB">
        <w:t xml:space="preserve">publicado en </w:t>
      </w:r>
      <w:r w:rsidRPr="00DD09EB">
        <w:rPr>
          <w:i/>
          <w:iCs/>
        </w:rPr>
        <w:t xml:space="preserve">Revista Ambiente </w:t>
      </w:r>
      <w:proofErr w:type="spellStart"/>
      <w:r w:rsidRPr="00DD09EB">
        <w:rPr>
          <w:i/>
          <w:iCs/>
        </w:rPr>
        <w:t>Contábil</w:t>
      </w:r>
      <w:proofErr w:type="spellEnd"/>
      <w:r w:rsidRPr="00095F7A">
        <w:t xml:space="preserve"> - UFRN – Natal-RN. v. 12, n. 1, p. 1 – 20, </w:t>
      </w:r>
      <w:proofErr w:type="gramStart"/>
      <w:r w:rsidRPr="00095F7A">
        <w:t>Jan./</w:t>
      </w:r>
      <w:proofErr w:type="gramEnd"/>
      <w:r w:rsidRPr="00095F7A">
        <w:t>Jun. 2020, ISSN 2176-9036</w:t>
      </w:r>
      <w:r w:rsidR="00DD09EB">
        <w:t xml:space="preserve">, se lee: </w:t>
      </w:r>
      <w:r>
        <w:t>“</w:t>
      </w:r>
      <w:r w:rsidR="00994BDB" w:rsidRPr="00DD09EB">
        <w:rPr>
          <w:i/>
          <w:iCs/>
        </w:rPr>
        <w:t xml:space="preserve">Para a </w:t>
      </w:r>
      <w:proofErr w:type="spellStart"/>
      <w:r w:rsidR="00994BDB" w:rsidRPr="00DD09EB">
        <w:rPr>
          <w:i/>
          <w:iCs/>
        </w:rPr>
        <w:t>concretização</w:t>
      </w:r>
      <w:proofErr w:type="spellEnd"/>
      <w:r w:rsidR="00994BDB" w:rsidRPr="00DD09EB">
        <w:rPr>
          <w:i/>
          <w:iCs/>
        </w:rPr>
        <w:t xml:space="preserve"> do objetivo, </w:t>
      </w:r>
      <w:proofErr w:type="spellStart"/>
      <w:r w:rsidR="00994BDB" w:rsidRPr="00DD09EB">
        <w:rPr>
          <w:i/>
          <w:iCs/>
        </w:rPr>
        <w:t>foi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construído</w:t>
      </w:r>
      <w:proofErr w:type="spellEnd"/>
      <w:r w:rsidR="00994BDB" w:rsidRPr="00DD09EB">
        <w:rPr>
          <w:i/>
          <w:iCs/>
        </w:rPr>
        <w:t xml:space="preserve"> um </w:t>
      </w:r>
      <w:proofErr w:type="spellStart"/>
      <w:r w:rsidR="00994BDB" w:rsidRPr="00DD09EB">
        <w:rPr>
          <w:i/>
          <w:iCs/>
        </w:rPr>
        <w:t>checklist</w:t>
      </w:r>
      <w:proofErr w:type="spellEnd"/>
      <w:r w:rsidR="00994BDB" w:rsidRPr="00DD09EB">
        <w:rPr>
          <w:i/>
          <w:iCs/>
        </w:rPr>
        <w:t xml:space="preserve"> composto pelos </w:t>
      </w:r>
      <w:proofErr w:type="spellStart"/>
      <w:r w:rsidR="00994BDB" w:rsidRPr="00DD09EB">
        <w:rPr>
          <w:i/>
          <w:iCs/>
        </w:rPr>
        <w:t>principais</w:t>
      </w:r>
      <w:proofErr w:type="spellEnd"/>
      <w:r w:rsidR="00DD09EB">
        <w:rPr>
          <w:i/>
          <w:iCs/>
        </w:rPr>
        <w:t xml:space="preserve"> </w:t>
      </w:r>
      <w:r w:rsidR="00994BDB" w:rsidRPr="00DD09EB">
        <w:rPr>
          <w:i/>
          <w:iCs/>
        </w:rPr>
        <w:t xml:space="preserve">requisitos que as empresas </w:t>
      </w:r>
      <w:proofErr w:type="spellStart"/>
      <w:r w:rsidR="00994BDB" w:rsidRPr="00DD09EB">
        <w:rPr>
          <w:i/>
          <w:iCs/>
        </w:rPr>
        <w:t>deveriam</w:t>
      </w:r>
      <w:proofErr w:type="spellEnd"/>
      <w:r w:rsidR="00994BDB" w:rsidRPr="00DD09EB">
        <w:rPr>
          <w:i/>
          <w:iCs/>
        </w:rPr>
        <w:t xml:space="preserve"> divulgar, que </w:t>
      </w:r>
      <w:proofErr w:type="spellStart"/>
      <w:r w:rsidR="00994BDB" w:rsidRPr="00DD09EB">
        <w:rPr>
          <w:i/>
          <w:iCs/>
        </w:rPr>
        <w:t>corroboram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seu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compliance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ao</w:t>
      </w:r>
      <w:proofErr w:type="spellEnd"/>
      <w:r w:rsidR="00994BDB" w:rsidRPr="00DD09EB">
        <w:rPr>
          <w:i/>
          <w:iCs/>
        </w:rPr>
        <w:t xml:space="preserve"> CPC 47. Em</w:t>
      </w:r>
      <w:r w:rsidR="00DD09EB">
        <w:rPr>
          <w:i/>
          <w:iCs/>
        </w:rPr>
        <w:t xml:space="preserve"> </w:t>
      </w:r>
      <w:r w:rsidR="00994BDB" w:rsidRPr="00DD09EB">
        <w:rPr>
          <w:i/>
          <w:iCs/>
        </w:rPr>
        <w:t xml:space="preserve">cada </w:t>
      </w:r>
      <w:proofErr w:type="spellStart"/>
      <w:r w:rsidR="00994BDB" w:rsidRPr="00DD09EB">
        <w:rPr>
          <w:i/>
          <w:iCs/>
        </w:rPr>
        <w:t>item</w:t>
      </w:r>
      <w:proofErr w:type="spellEnd"/>
      <w:r w:rsidR="00994BDB" w:rsidRPr="00DD09EB">
        <w:rPr>
          <w:i/>
          <w:iCs/>
        </w:rPr>
        <w:t xml:space="preserve">, </w:t>
      </w:r>
      <w:proofErr w:type="spellStart"/>
      <w:r w:rsidR="00994BDB" w:rsidRPr="00DD09EB">
        <w:rPr>
          <w:i/>
          <w:iCs/>
        </w:rPr>
        <w:t>estabeleceu</w:t>
      </w:r>
      <w:proofErr w:type="spellEnd"/>
      <w:r w:rsidR="00994BDB" w:rsidRPr="00DD09EB">
        <w:rPr>
          <w:i/>
          <w:iCs/>
        </w:rPr>
        <w:t xml:space="preserve">-se </w:t>
      </w:r>
      <w:proofErr w:type="spellStart"/>
      <w:r w:rsidR="00994BDB" w:rsidRPr="00DD09EB">
        <w:rPr>
          <w:i/>
          <w:iCs/>
        </w:rPr>
        <w:t>uma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pontuação</w:t>
      </w:r>
      <w:proofErr w:type="spellEnd"/>
      <w:r w:rsidR="00994BDB" w:rsidRPr="00DD09EB">
        <w:rPr>
          <w:i/>
          <w:iCs/>
        </w:rPr>
        <w:t xml:space="preserve"> de </w:t>
      </w:r>
      <w:proofErr w:type="spellStart"/>
      <w:r w:rsidR="00994BDB" w:rsidRPr="00DD09EB">
        <w:rPr>
          <w:i/>
          <w:iCs/>
        </w:rPr>
        <w:t>aderência</w:t>
      </w:r>
      <w:proofErr w:type="spellEnd"/>
      <w:r w:rsidR="00994BDB" w:rsidRPr="00DD09EB">
        <w:rPr>
          <w:i/>
          <w:iCs/>
        </w:rPr>
        <w:t xml:space="preserve"> de 1 a 4, </w:t>
      </w:r>
      <w:proofErr w:type="spellStart"/>
      <w:r w:rsidR="00994BDB" w:rsidRPr="00DD09EB">
        <w:rPr>
          <w:i/>
          <w:iCs/>
        </w:rPr>
        <w:t>sendo</w:t>
      </w:r>
      <w:proofErr w:type="spellEnd"/>
      <w:r w:rsidR="00994BDB" w:rsidRPr="00DD09EB">
        <w:rPr>
          <w:i/>
          <w:iCs/>
        </w:rPr>
        <w:t xml:space="preserve"> 1 para as empresas que</w:t>
      </w:r>
      <w:r w:rsid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apresentaram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informações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restritas</w:t>
      </w:r>
      <w:proofErr w:type="spellEnd"/>
      <w:r w:rsidR="00994BDB" w:rsidRPr="00DD09EB">
        <w:rPr>
          <w:i/>
          <w:iCs/>
        </w:rPr>
        <w:t xml:space="preserve"> e 4 para as empresas que </w:t>
      </w:r>
      <w:proofErr w:type="spellStart"/>
      <w:r w:rsidR="00994BDB" w:rsidRPr="00DD09EB">
        <w:rPr>
          <w:i/>
          <w:iCs/>
        </w:rPr>
        <w:t>apresentaram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informações</w:t>
      </w:r>
      <w:proofErr w:type="spellEnd"/>
      <w:r w:rsidR="00994BDB" w:rsidRPr="00DD09EB">
        <w:rPr>
          <w:i/>
          <w:iCs/>
        </w:rPr>
        <w:t xml:space="preserve"> amplas.</w:t>
      </w:r>
      <w:r w:rsidR="00DD09EB">
        <w:rPr>
          <w:i/>
          <w:iCs/>
        </w:rPr>
        <w:t xml:space="preserve"> </w:t>
      </w:r>
      <w:r w:rsidR="00994BDB" w:rsidRPr="00DD09EB">
        <w:rPr>
          <w:i/>
          <w:iCs/>
        </w:rPr>
        <w:t xml:space="preserve">Os dados </w:t>
      </w:r>
      <w:proofErr w:type="spellStart"/>
      <w:r w:rsidR="00994BDB" w:rsidRPr="00DD09EB">
        <w:rPr>
          <w:i/>
          <w:iCs/>
        </w:rPr>
        <w:t>foram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coletados</w:t>
      </w:r>
      <w:proofErr w:type="spellEnd"/>
      <w:r w:rsidR="00994BDB" w:rsidRPr="00DD09EB">
        <w:rPr>
          <w:i/>
          <w:iCs/>
        </w:rPr>
        <w:t xml:space="preserve"> a partir da </w:t>
      </w:r>
      <w:proofErr w:type="spellStart"/>
      <w:r w:rsidR="00994BDB" w:rsidRPr="00DD09EB">
        <w:rPr>
          <w:i/>
          <w:iCs/>
        </w:rPr>
        <w:t>análise</w:t>
      </w:r>
      <w:proofErr w:type="spellEnd"/>
      <w:r w:rsidR="00994BDB" w:rsidRPr="00DD09EB">
        <w:rPr>
          <w:i/>
          <w:iCs/>
        </w:rPr>
        <w:t xml:space="preserve"> documental das </w:t>
      </w:r>
      <w:proofErr w:type="spellStart"/>
      <w:r w:rsidR="00994BDB" w:rsidRPr="00DD09EB">
        <w:rPr>
          <w:i/>
          <w:iCs/>
        </w:rPr>
        <w:t>informações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nas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demonstrações</w:t>
      </w:r>
      <w:proofErr w:type="spellEnd"/>
      <w:r w:rsid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financeiras</w:t>
      </w:r>
      <w:proofErr w:type="spellEnd"/>
      <w:r w:rsidR="00994BDB" w:rsidRPr="00DD09EB">
        <w:rPr>
          <w:i/>
          <w:iCs/>
        </w:rPr>
        <w:t xml:space="preserve"> consolidadas (</w:t>
      </w:r>
      <w:proofErr w:type="spellStart"/>
      <w:r w:rsidR="00994BDB" w:rsidRPr="00DD09EB">
        <w:rPr>
          <w:i/>
          <w:iCs/>
        </w:rPr>
        <w:t>Balanço</w:t>
      </w:r>
      <w:proofErr w:type="spellEnd"/>
      <w:r w:rsidR="00994BDB" w:rsidRPr="00DD09EB">
        <w:rPr>
          <w:i/>
          <w:iCs/>
        </w:rPr>
        <w:t xml:space="preserve"> Patrimonial e </w:t>
      </w:r>
      <w:proofErr w:type="spellStart"/>
      <w:r w:rsidR="00994BDB" w:rsidRPr="00DD09EB">
        <w:rPr>
          <w:i/>
          <w:iCs/>
        </w:rPr>
        <w:t>Demonstração</w:t>
      </w:r>
      <w:proofErr w:type="spellEnd"/>
      <w:r w:rsidR="00994BDB" w:rsidRPr="00DD09EB">
        <w:rPr>
          <w:i/>
          <w:iCs/>
        </w:rPr>
        <w:t xml:space="preserve"> de Resultado do </w:t>
      </w:r>
      <w:proofErr w:type="spellStart"/>
      <w:r w:rsidR="00994BDB" w:rsidRPr="00DD09EB">
        <w:rPr>
          <w:i/>
          <w:iCs/>
        </w:rPr>
        <w:t>Exercício</w:t>
      </w:r>
      <w:proofErr w:type="spellEnd"/>
      <w:r w:rsidR="00994BDB" w:rsidRPr="00DD09EB">
        <w:rPr>
          <w:i/>
          <w:iCs/>
        </w:rPr>
        <w:t>),</w:t>
      </w:r>
      <w:r w:rsidR="00DD09EB">
        <w:rPr>
          <w:i/>
          <w:iCs/>
        </w:rPr>
        <w:t xml:space="preserve"> </w:t>
      </w:r>
      <w:r w:rsidR="00994BDB" w:rsidRPr="00DD09EB">
        <w:rPr>
          <w:i/>
          <w:iCs/>
        </w:rPr>
        <w:t xml:space="preserve">Notas Explicativas e </w:t>
      </w:r>
      <w:proofErr w:type="spellStart"/>
      <w:r w:rsidR="00994BDB" w:rsidRPr="00DD09EB">
        <w:rPr>
          <w:i/>
          <w:iCs/>
        </w:rPr>
        <w:t>Relatórios</w:t>
      </w:r>
      <w:proofErr w:type="spellEnd"/>
      <w:r w:rsidR="00994BDB" w:rsidRPr="00DD09EB">
        <w:rPr>
          <w:i/>
          <w:iCs/>
        </w:rPr>
        <w:t xml:space="preserve"> da </w:t>
      </w:r>
      <w:proofErr w:type="spellStart"/>
      <w:r w:rsidR="00994BDB" w:rsidRPr="00DD09EB">
        <w:rPr>
          <w:i/>
          <w:iCs/>
        </w:rPr>
        <w:t>Administração</w:t>
      </w:r>
      <w:proofErr w:type="spellEnd"/>
      <w:r w:rsidR="00994BDB" w:rsidRPr="00DD09EB">
        <w:rPr>
          <w:i/>
          <w:iCs/>
        </w:rPr>
        <w:t xml:space="preserve"> dos </w:t>
      </w:r>
      <w:proofErr w:type="spellStart"/>
      <w:r w:rsidR="00994BDB" w:rsidRPr="00DD09EB">
        <w:rPr>
          <w:i/>
          <w:iCs/>
        </w:rPr>
        <w:t>anos</w:t>
      </w:r>
      <w:proofErr w:type="spellEnd"/>
      <w:r w:rsidR="00994BDB" w:rsidRPr="00DD09EB">
        <w:rPr>
          <w:i/>
          <w:iCs/>
        </w:rPr>
        <w:t xml:space="preserve"> de 2018 e 2017 das empresas Algar</w:t>
      </w:r>
      <w:r w:rsidR="00DD09EB">
        <w:rPr>
          <w:i/>
          <w:iCs/>
        </w:rPr>
        <w:t xml:space="preserve"> </w:t>
      </w:r>
      <w:r w:rsidR="00994BDB" w:rsidRPr="00DD09EB">
        <w:rPr>
          <w:i/>
          <w:iCs/>
        </w:rPr>
        <w:t xml:space="preserve">Telecom S/A, OI S/A, </w:t>
      </w:r>
      <w:proofErr w:type="spellStart"/>
      <w:r w:rsidR="00994BDB" w:rsidRPr="00DD09EB">
        <w:rPr>
          <w:i/>
          <w:iCs/>
        </w:rPr>
        <w:t>Telecomunicações</w:t>
      </w:r>
      <w:proofErr w:type="spellEnd"/>
      <w:r w:rsidR="00994BDB" w:rsidRPr="00DD09EB">
        <w:rPr>
          <w:i/>
          <w:iCs/>
        </w:rPr>
        <w:t xml:space="preserve"> brasileiras – </w:t>
      </w:r>
      <w:proofErr w:type="spellStart"/>
      <w:r w:rsidR="00994BDB" w:rsidRPr="00DD09EB">
        <w:rPr>
          <w:i/>
          <w:iCs/>
        </w:rPr>
        <w:t>Telebrás</w:t>
      </w:r>
      <w:proofErr w:type="spellEnd"/>
      <w:r w:rsidR="00994BDB" w:rsidRPr="00DD09EB">
        <w:rPr>
          <w:i/>
          <w:iCs/>
        </w:rPr>
        <w:t xml:space="preserve"> S/A, </w:t>
      </w:r>
      <w:proofErr w:type="spellStart"/>
      <w:r w:rsidR="00994BDB" w:rsidRPr="00DD09EB">
        <w:rPr>
          <w:i/>
          <w:iCs/>
        </w:rPr>
        <w:t>Telefônica</w:t>
      </w:r>
      <w:proofErr w:type="spellEnd"/>
      <w:r w:rsidR="00994BDB" w:rsidRPr="00DD09EB">
        <w:rPr>
          <w:i/>
          <w:iCs/>
        </w:rPr>
        <w:t xml:space="preserve"> Vivo Brasil</w:t>
      </w:r>
      <w:r w:rsidR="00DD09EB">
        <w:rPr>
          <w:i/>
          <w:iCs/>
        </w:rPr>
        <w:t xml:space="preserve"> </w:t>
      </w:r>
      <w:r w:rsidR="00994BDB" w:rsidRPr="00DD09EB">
        <w:rPr>
          <w:i/>
          <w:iCs/>
        </w:rPr>
        <w:t xml:space="preserve">S/A e Tim </w:t>
      </w:r>
      <w:proofErr w:type="spellStart"/>
      <w:r w:rsidR="00994BDB" w:rsidRPr="00DD09EB">
        <w:rPr>
          <w:i/>
          <w:iCs/>
        </w:rPr>
        <w:t>Participações</w:t>
      </w:r>
      <w:proofErr w:type="spellEnd"/>
      <w:r w:rsidR="00994BDB" w:rsidRPr="00DD09EB">
        <w:rPr>
          <w:i/>
          <w:iCs/>
        </w:rPr>
        <w:t xml:space="preserve"> S/A. De forma </w:t>
      </w:r>
      <w:proofErr w:type="spellStart"/>
      <w:r w:rsidR="00994BDB" w:rsidRPr="00DD09EB">
        <w:rPr>
          <w:i/>
          <w:iCs/>
        </w:rPr>
        <w:t>geral</w:t>
      </w:r>
      <w:proofErr w:type="spellEnd"/>
      <w:r w:rsidR="00994BDB" w:rsidRPr="00DD09EB">
        <w:rPr>
          <w:i/>
          <w:iCs/>
        </w:rPr>
        <w:t xml:space="preserve">, </w:t>
      </w:r>
      <w:proofErr w:type="spellStart"/>
      <w:r w:rsidR="00994BDB" w:rsidRPr="00DD09EB">
        <w:rPr>
          <w:i/>
          <w:iCs/>
        </w:rPr>
        <w:t>foi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possível</w:t>
      </w:r>
      <w:proofErr w:type="spellEnd"/>
      <w:r w:rsidR="00994BDB" w:rsidRPr="00DD09EB">
        <w:rPr>
          <w:i/>
          <w:iCs/>
        </w:rPr>
        <w:t xml:space="preserve"> verificar que </w:t>
      </w:r>
      <w:proofErr w:type="spellStart"/>
      <w:r w:rsidR="00994BDB" w:rsidRPr="00DD09EB">
        <w:rPr>
          <w:i/>
          <w:iCs/>
        </w:rPr>
        <w:t>não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houve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uma</w:t>
      </w:r>
      <w:proofErr w:type="spellEnd"/>
      <w:r w:rsidR="00994BDB" w:rsidRPr="00DD09EB">
        <w:rPr>
          <w:i/>
          <w:iCs/>
        </w:rPr>
        <w:t xml:space="preserve"> ampla </w:t>
      </w:r>
      <w:proofErr w:type="spellStart"/>
      <w:r w:rsidR="00994BDB" w:rsidRPr="00DD09EB">
        <w:rPr>
          <w:i/>
          <w:iCs/>
        </w:rPr>
        <w:t>aderência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ao</w:t>
      </w:r>
      <w:proofErr w:type="spellEnd"/>
      <w:r w:rsidR="00994BDB" w:rsidRPr="00DD09EB">
        <w:rPr>
          <w:i/>
          <w:iCs/>
        </w:rPr>
        <w:t xml:space="preserve"> CPC 47</w:t>
      </w:r>
      <w:r w:rsidR="00DD09EB">
        <w:rPr>
          <w:i/>
          <w:iCs/>
        </w:rPr>
        <w:t xml:space="preserve"> </w:t>
      </w:r>
      <w:r w:rsidR="00994BDB" w:rsidRPr="00DD09EB">
        <w:rPr>
          <w:i/>
          <w:iCs/>
        </w:rPr>
        <w:t xml:space="preserve">pelas empresas </w:t>
      </w:r>
      <w:proofErr w:type="spellStart"/>
      <w:r w:rsidR="00994BDB" w:rsidRPr="00DD09EB">
        <w:rPr>
          <w:i/>
          <w:iCs/>
        </w:rPr>
        <w:t>estudadas</w:t>
      </w:r>
      <w:proofErr w:type="spellEnd"/>
      <w:r w:rsidR="00994BDB" w:rsidRPr="00DD09EB">
        <w:rPr>
          <w:i/>
          <w:iCs/>
        </w:rPr>
        <w:t xml:space="preserve">. Os resultados </w:t>
      </w:r>
      <w:proofErr w:type="spellStart"/>
      <w:r w:rsidR="00994BDB" w:rsidRPr="00DD09EB">
        <w:rPr>
          <w:i/>
          <w:iCs/>
        </w:rPr>
        <w:t>sugerem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uma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contraposição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às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afirmações</w:t>
      </w:r>
      <w:proofErr w:type="spellEnd"/>
      <w:r w:rsidR="00994BDB" w:rsidRPr="00DD09EB">
        <w:rPr>
          <w:i/>
          <w:iCs/>
        </w:rPr>
        <w:t xml:space="preserve"> de Cova</w:t>
      </w:r>
      <w:r w:rsidR="00DD09EB">
        <w:rPr>
          <w:i/>
          <w:iCs/>
        </w:rPr>
        <w:t xml:space="preserve"> </w:t>
      </w:r>
      <w:r w:rsidR="00994BDB" w:rsidRPr="00DD09EB">
        <w:rPr>
          <w:i/>
          <w:iCs/>
        </w:rPr>
        <w:t xml:space="preserve">(2016) e Silva (2018), que </w:t>
      </w:r>
      <w:proofErr w:type="spellStart"/>
      <w:r w:rsidR="00994BDB" w:rsidRPr="00DD09EB">
        <w:rPr>
          <w:i/>
          <w:iCs/>
        </w:rPr>
        <w:t>sugerem</w:t>
      </w:r>
      <w:proofErr w:type="spellEnd"/>
      <w:r w:rsidR="00994BDB" w:rsidRPr="00DD09EB">
        <w:rPr>
          <w:i/>
          <w:iCs/>
        </w:rPr>
        <w:t xml:space="preserve"> que as empresas </w:t>
      </w:r>
      <w:proofErr w:type="spellStart"/>
      <w:r w:rsidR="00994BDB" w:rsidRPr="00DD09EB">
        <w:rPr>
          <w:i/>
          <w:iCs/>
        </w:rPr>
        <w:t>devem</w:t>
      </w:r>
      <w:proofErr w:type="spellEnd"/>
      <w:r w:rsidR="00994BDB" w:rsidRPr="00DD09EB">
        <w:rPr>
          <w:i/>
          <w:iCs/>
        </w:rPr>
        <w:t xml:space="preserve"> evidenciar, de </w:t>
      </w:r>
      <w:proofErr w:type="spellStart"/>
      <w:r w:rsidR="00994BDB" w:rsidRPr="00DD09EB">
        <w:rPr>
          <w:i/>
          <w:iCs/>
        </w:rPr>
        <w:t>uma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maneira</w:t>
      </w:r>
      <w:proofErr w:type="spellEnd"/>
      <w:r w:rsidR="00994BDB" w:rsidRPr="00DD09EB">
        <w:rPr>
          <w:i/>
          <w:iCs/>
        </w:rPr>
        <w:t xml:space="preserve"> ampla,</w:t>
      </w:r>
      <w:r w:rsidR="00DD09EB">
        <w:rPr>
          <w:i/>
          <w:iCs/>
        </w:rPr>
        <w:t xml:space="preserve"> </w:t>
      </w:r>
      <w:r w:rsidR="00994BDB" w:rsidRPr="00DD09EB">
        <w:rPr>
          <w:i/>
          <w:iCs/>
        </w:rPr>
        <w:t xml:space="preserve">o impacto da nova norma sobre </w:t>
      </w:r>
      <w:proofErr w:type="spellStart"/>
      <w:r w:rsidR="00994BDB" w:rsidRPr="00DD09EB">
        <w:rPr>
          <w:i/>
          <w:iCs/>
        </w:rPr>
        <w:t>suas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operações</w:t>
      </w:r>
      <w:proofErr w:type="spellEnd"/>
      <w:r w:rsidR="00994BDB" w:rsidRPr="00DD09EB">
        <w:rPr>
          <w:i/>
          <w:iCs/>
        </w:rPr>
        <w:t xml:space="preserve">, </w:t>
      </w:r>
      <w:proofErr w:type="spellStart"/>
      <w:r w:rsidR="00994BDB" w:rsidRPr="00DD09EB">
        <w:rPr>
          <w:i/>
          <w:iCs/>
        </w:rPr>
        <w:t>assim</w:t>
      </w:r>
      <w:proofErr w:type="spellEnd"/>
      <w:r w:rsidR="00994BDB" w:rsidRPr="00DD09EB">
        <w:rPr>
          <w:i/>
          <w:iCs/>
        </w:rPr>
        <w:t xml:space="preserve"> como sobre </w:t>
      </w:r>
      <w:proofErr w:type="spellStart"/>
      <w:r w:rsidR="00994BDB" w:rsidRPr="00DD09EB">
        <w:rPr>
          <w:i/>
          <w:iCs/>
        </w:rPr>
        <w:t>seus</w:t>
      </w:r>
      <w:proofErr w:type="spellEnd"/>
      <w:r w:rsidR="00994BDB" w:rsidRPr="00DD09EB">
        <w:rPr>
          <w:i/>
          <w:iCs/>
        </w:rPr>
        <w:t xml:space="preserve"> controles </w:t>
      </w:r>
      <w:proofErr w:type="gramStart"/>
      <w:r w:rsidR="00994BDB" w:rsidRPr="00DD09EB">
        <w:rPr>
          <w:i/>
          <w:iCs/>
        </w:rPr>
        <w:t>e</w:t>
      </w:r>
      <w:proofErr w:type="gramEnd"/>
      <w:r w:rsidR="00994BDB" w:rsidRPr="00DD09EB">
        <w:rPr>
          <w:i/>
          <w:iCs/>
        </w:rPr>
        <w:t xml:space="preserve"> resultados. </w:t>
      </w:r>
      <w:proofErr w:type="spellStart"/>
      <w:r w:rsidR="00994BDB" w:rsidRPr="00DD09EB">
        <w:rPr>
          <w:i/>
          <w:iCs/>
        </w:rPr>
        <w:t>Um</w:t>
      </w:r>
      <w:proofErr w:type="spellEnd"/>
      <w:r w:rsidR="00994BDB" w:rsidRPr="00DD09EB">
        <w:rPr>
          <w:i/>
          <w:iCs/>
        </w:rPr>
        <w:t xml:space="preserve"> menor </w:t>
      </w:r>
      <w:proofErr w:type="spellStart"/>
      <w:r w:rsidR="00994BDB" w:rsidRPr="00DD09EB">
        <w:rPr>
          <w:i/>
          <w:iCs/>
        </w:rPr>
        <w:t>nível</w:t>
      </w:r>
      <w:proofErr w:type="spellEnd"/>
      <w:r w:rsidR="00994BDB" w:rsidRPr="00DD09EB">
        <w:rPr>
          <w:i/>
          <w:iCs/>
        </w:rPr>
        <w:t xml:space="preserve"> de </w:t>
      </w:r>
      <w:proofErr w:type="spellStart"/>
      <w:r w:rsidR="00994BDB" w:rsidRPr="00DD09EB">
        <w:rPr>
          <w:i/>
          <w:iCs/>
        </w:rPr>
        <w:t>compliance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aos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padrões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contábeis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internacionais</w:t>
      </w:r>
      <w:proofErr w:type="spellEnd"/>
      <w:r w:rsidR="00994BDB" w:rsidRPr="00DD09EB">
        <w:rPr>
          <w:i/>
          <w:iCs/>
        </w:rPr>
        <w:t xml:space="preserve"> de </w:t>
      </w:r>
      <w:proofErr w:type="spellStart"/>
      <w:r w:rsidR="00994BDB" w:rsidRPr="00DD09EB">
        <w:rPr>
          <w:i/>
          <w:iCs/>
        </w:rPr>
        <w:t>contabilidade</w:t>
      </w:r>
      <w:proofErr w:type="spellEnd"/>
      <w:r w:rsidR="00994BDB" w:rsidRPr="00DD09EB">
        <w:rPr>
          <w:i/>
          <w:iCs/>
        </w:rPr>
        <w:t xml:space="preserve"> evidencia</w:t>
      </w:r>
      <w:r w:rsid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uma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reduzida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confiabilidade</w:t>
      </w:r>
      <w:proofErr w:type="spellEnd"/>
      <w:r w:rsidR="00994BDB" w:rsidRPr="00DD09EB">
        <w:rPr>
          <w:i/>
          <w:iCs/>
        </w:rPr>
        <w:t xml:space="preserve"> e </w:t>
      </w:r>
      <w:proofErr w:type="spellStart"/>
      <w:r w:rsidR="00994BDB" w:rsidRPr="00DD09EB">
        <w:rPr>
          <w:i/>
          <w:iCs/>
        </w:rPr>
        <w:t>comparabilidade</w:t>
      </w:r>
      <w:proofErr w:type="spellEnd"/>
      <w:r w:rsidR="00994BDB" w:rsidRPr="00DD09EB">
        <w:rPr>
          <w:i/>
          <w:iCs/>
        </w:rPr>
        <w:t xml:space="preserve"> das </w:t>
      </w:r>
      <w:proofErr w:type="spellStart"/>
      <w:r w:rsidR="00994BDB" w:rsidRPr="00DD09EB">
        <w:rPr>
          <w:i/>
          <w:iCs/>
        </w:rPr>
        <w:t>informações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financeiras</w:t>
      </w:r>
      <w:proofErr w:type="spellEnd"/>
      <w:r w:rsidR="00994BDB" w:rsidRPr="00DD09EB">
        <w:rPr>
          <w:i/>
          <w:iCs/>
        </w:rPr>
        <w:t xml:space="preserve">, </w:t>
      </w:r>
      <w:proofErr w:type="spellStart"/>
      <w:r w:rsidR="00994BDB" w:rsidRPr="00DD09EB">
        <w:rPr>
          <w:i/>
          <w:iCs/>
        </w:rPr>
        <w:t>não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sendo</w:t>
      </w:r>
      <w:proofErr w:type="spellEnd"/>
      <w:r w:rsidR="00994BDB" w:rsidRPr="00DD09EB">
        <w:rPr>
          <w:i/>
          <w:iCs/>
        </w:rPr>
        <w:t xml:space="preserve"> base</w:t>
      </w:r>
      <w:r w:rsid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confiável</w:t>
      </w:r>
      <w:proofErr w:type="spellEnd"/>
      <w:r w:rsidR="00994BDB" w:rsidRPr="00DD09EB">
        <w:rPr>
          <w:i/>
          <w:iCs/>
        </w:rPr>
        <w:t xml:space="preserve"> para a tomada de </w:t>
      </w:r>
      <w:proofErr w:type="spellStart"/>
      <w:r w:rsidR="00994BDB" w:rsidRPr="00DD09EB">
        <w:rPr>
          <w:i/>
          <w:iCs/>
        </w:rPr>
        <w:t>decisões</w:t>
      </w:r>
      <w:proofErr w:type="spellEnd"/>
      <w:r w:rsidR="00994BDB" w:rsidRPr="00DD09EB">
        <w:rPr>
          <w:i/>
          <w:iCs/>
        </w:rPr>
        <w:t xml:space="preserve"> eficientes e </w:t>
      </w:r>
      <w:proofErr w:type="spellStart"/>
      <w:r w:rsidR="00994BDB" w:rsidRPr="00DD09EB">
        <w:rPr>
          <w:i/>
          <w:iCs/>
        </w:rPr>
        <w:t>inferências</w:t>
      </w:r>
      <w:proofErr w:type="spellEnd"/>
      <w:r w:rsidR="00994BDB" w:rsidRPr="00DD09EB">
        <w:rPr>
          <w:i/>
          <w:iCs/>
        </w:rPr>
        <w:t xml:space="preserve"> para o futuro das diversas partes</w:t>
      </w:r>
      <w:r w:rsid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interessadas</w:t>
      </w:r>
      <w:proofErr w:type="spellEnd"/>
      <w:r w:rsidR="00994BDB" w:rsidRPr="00DD09EB">
        <w:rPr>
          <w:i/>
          <w:iCs/>
        </w:rPr>
        <w:t xml:space="preserve">. No tocante </w:t>
      </w:r>
      <w:proofErr w:type="spellStart"/>
      <w:r w:rsidR="00994BDB" w:rsidRPr="00DD09EB">
        <w:rPr>
          <w:i/>
          <w:iCs/>
        </w:rPr>
        <w:t>ao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disclosure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voluntário</w:t>
      </w:r>
      <w:proofErr w:type="spellEnd"/>
      <w:r w:rsidR="00994BDB" w:rsidRPr="00DD09EB">
        <w:rPr>
          <w:i/>
          <w:iCs/>
        </w:rPr>
        <w:t xml:space="preserve">, </w:t>
      </w:r>
      <w:proofErr w:type="spellStart"/>
      <w:r w:rsidR="00994BDB" w:rsidRPr="00DD09EB">
        <w:rPr>
          <w:i/>
          <w:iCs/>
        </w:rPr>
        <w:t>não</w:t>
      </w:r>
      <w:proofErr w:type="spellEnd"/>
      <w:r w:rsidR="00994BDB" w:rsidRPr="00DD09EB">
        <w:rPr>
          <w:i/>
          <w:iCs/>
        </w:rPr>
        <w:t xml:space="preserve"> se </w:t>
      </w:r>
      <w:proofErr w:type="spellStart"/>
      <w:r w:rsidR="00994BDB" w:rsidRPr="00DD09EB">
        <w:rPr>
          <w:i/>
          <w:iCs/>
        </w:rPr>
        <w:t>verificou</w:t>
      </w:r>
      <w:proofErr w:type="spellEnd"/>
      <w:r w:rsidR="00994BDB" w:rsidRPr="00DD09EB">
        <w:rPr>
          <w:i/>
          <w:iCs/>
        </w:rPr>
        <w:t xml:space="preserve"> um </w:t>
      </w:r>
      <w:proofErr w:type="spellStart"/>
      <w:r w:rsidR="00994BDB" w:rsidRPr="00DD09EB">
        <w:rPr>
          <w:i/>
          <w:iCs/>
        </w:rPr>
        <w:t>interesse</w:t>
      </w:r>
      <w:proofErr w:type="spellEnd"/>
      <w:r w:rsidR="00994BDB" w:rsidRPr="00DD09EB">
        <w:rPr>
          <w:i/>
          <w:iCs/>
        </w:rPr>
        <w:t xml:space="preserve"> das empresas em</w:t>
      </w:r>
      <w:r w:rsidR="00DD09EB">
        <w:rPr>
          <w:i/>
          <w:iCs/>
        </w:rPr>
        <w:t xml:space="preserve"> </w:t>
      </w:r>
      <w:r w:rsidR="00994BDB" w:rsidRPr="00DD09EB">
        <w:rPr>
          <w:i/>
          <w:iCs/>
        </w:rPr>
        <w:t xml:space="preserve">evidenciar </w:t>
      </w:r>
      <w:proofErr w:type="spellStart"/>
      <w:r w:rsidR="00994BDB" w:rsidRPr="00DD09EB">
        <w:rPr>
          <w:i/>
          <w:iCs/>
        </w:rPr>
        <w:t>informações</w:t>
      </w:r>
      <w:proofErr w:type="spellEnd"/>
      <w:r w:rsidR="00994BDB" w:rsidRPr="00DD09EB">
        <w:rPr>
          <w:i/>
          <w:iCs/>
        </w:rPr>
        <w:t xml:space="preserve"> acerca das </w:t>
      </w:r>
      <w:proofErr w:type="spellStart"/>
      <w:r w:rsidR="00994BDB" w:rsidRPr="00DD09EB">
        <w:rPr>
          <w:i/>
          <w:iCs/>
        </w:rPr>
        <w:t>receitas</w:t>
      </w:r>
      <w:proofErr w:type="spellEnd"/>
      <w:r w:rsidR="00994BDB" w:rsidRPr="00DD09EB">
        <w:rPr>
          <w:i/>
          <w:iCs/>
        </w:rPr>
        <w:t xml:space="preserve"> de contratos </w:t>
      </w:r>
      <w:proofErr w:type="spellStart"/>
      <w:r w:rsidR="00994BDB" w:rsidRPr="00DD09EB">
        <w:rPr>
          <w:i/>
          <w:iCs/>
        </w:rPr>
        <w:t>com</w:t>
      </w:r>
      <w:proofErr w:type="spellEnd"/>
      <w:r w:rsidR="00994BDB" w:rsidRPr="00DD09EB">
        <w:rPr>
          <w:i/>
          <w:iCs/>
        </w:rPr>
        <w:t xml:space="preserve"> clientes antes do período exigido</w:t>
      </w:r>
      <w:r w:rsidR="00DD09EB">
        <w:rPr>
          <w:i/>
          <w:iCs/>
        </w:rPr>
        <w:t xml:space="preserve"> </w:t>
      </w:r>
      <w:r w:rsidR="00994BDB" w:rsidRPr="00DD09EB">
        <w:rPr>
          <w:i/>
          <w:iCs/>
        </w:rPr>
        <w:t xml:space="preserve">pela norma. A </w:t>
      </w:r>
      <w:proofErr w:type="spellStart"/>
      <w:r w:rsidR="00994BDB" w:rsidRPr="00DD09EB">
        <w:rPr>
          <w:i/>
          <w:iCs/>
        </w:rPr>
        <w:t>omissão</w:t>
      </w:r>
      <w:proofErr w:type="spellEnd"/>
      <w:r w:rsidR="00994BDB" w:rsidRPr="00DD09EB">
        <w:rPr>
          <w:i/>
          <w:iCs/>
        </w:rPr>
        <w:t xml:space="preserve"> de </w:t>
      </w:r>
      <w:proofErr w:type="spellStart"/>
      <w:r w:rsidR="00994BDB" w:rsidRPr="00DD09EB">
        <w:rPr>
          <w:i/>
          <w:iCs/>
        </w:rPr>
        <w:t>tais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informações</w:t>
      </w:r>
      <w:proofErr w:type="spellEnd"/>
      <w:r w:rsidR="00994BDB" w:rsidRPr="00DD09EB">
        <w:rPr>
          <w:i/>
          <w:iCs/>
        </w:rPr>
        <w:t xml:space="preserve">, como </w:t>
      </w:r>
      <w:proofErr w:type="spellStart"/>
      <w:r w:rsidR="00994BDB" w:rsidRPr="00DD09EB">
        <w:rPr>
          <w:i/>
          <w:iCs/>
        </w:rPr>
        <w:t>alertam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Dye</w:t>
      </w:r>
      <w:proofErr w:type="spellEnd"/>
      <w:r w:rsidR="00994BDB" w:rsidRPr="00DD09EB">
        <w:rPr>
          <w:i/>
          <w:iCs/>
        </w:rPr>
        <w:t xml:space="preserve"> (2001), </w:t>
      </w:r>
      <w:proofErr w:type="spellStart"/>
      <w:r w:rsidR="00994BDB" w:rsidRPr="00DD09EB">
        <w:rPr>
          <w:i/>
          <w:iCs/>
        </w:rPr>
        <w:t>Verrecchia</w:t>
      </w:r>
      <w:proofErr w:type="spellEnd"/>
      <w:r w:rsidR="00994BDB" w:rsidRPr="00DD09EB">
        <w:rPr>
          <w:i/>
          <w:iCs/>
        </w:rPr>
        <w:t xml:space="preserve"> (2001) e</w:t>
      </w:r>
      <w:r w:rsidR="00DD09EB">
        <w:rPr>
          <w:i/>
          <w:iCs/>
        </w:rPr>
        <w:t xml:space="preserve"> </w:t>
      </w:r>
      <w:r w:rsidR="00994BDB" w:rsidRPr="00DD09EB">
        <w:rPr>
          <w:i/>
          <w:iCs/>
        </w:rPr>
        <w:t xml:space="preserve">Teixeira (2010), pode </w:t>
      </w:r>
      <w:proofErr w:type="spellStart"/>
      <w:r w:rsidR="00994BDB" w:rsidRPr="00DD09EB">
        <w:rPr>
          <w:i/>
          <w:iCs/>
        </w:rPr>
        <w:t>não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qualificar</w:t>
      </w:r>
      <w:proofErr w:type="spellEnd"/>
      <w:r w:rsidR="00994BDB" w:rsidRPr="00DD09EB">
        <w:rPr>
          <w:i/>
          <w:iCs/>
        </w:rPr>
        <w:t xml:space="preserve"> a empresa como </w:t>
      </w:r>
      <w:proofErr w:type="spellStart"/>
      <w:r w:rsidR="00994BDB" w:rsidRPr="00DD09EB">
        <w:rPr>
          <w:i/>
          <w:iCs/>
        </w:rPr>
        <w:t>oportunidade</w:t>
      </w:r>
      <w:proofErr w:type="spellEnd"/>
      <w:r w:rsidR="00994BDB" w:rsidRPr="00DD09EB">
        <w:rPr>
          <w:i/>
          <w:iCs/>
        </w:rPr>
        <w:t xml:space="preserve"> diferenciada de</w:t>
      </w:r>
      <w:r w:rsidR="00DD09EB">
        <w:rPr>
          <w:i/>
          <w:iCs/>
        </w:rPr>
        <w:t xml:space="preserve"> </w:t>
      </w:r>
      <w:r w:rsidR="00994BDB" w:rsidRPr="00DD09EB">
        <w:rPr>
          <w:i/>
          <w:iCs/>
        </w:rPr>
        <w:t xml:space="preserve">investimento, </w:t>
      </w:r>
      <w:proofErr w:type="spellStart"/>
      <w:r w:rsidR="00994BDB" w:rsidRPr="00DD09EB">
        <w:rPr>
          <w:i/>
          <w:iCs/>
        </w:rPr>
        <w:t>haja</w:t>
      </w:r>
      <w:proofErr w:type="spellEnd"/>
      <w:r w:rsidR="00994BDB" w:rsidRPr="00DD09EB">
        <w:rPr>
          <w:i/>
          <w:iCs/>
        </w:rPr>
        <w:t xml:space="preserve"> vista que </w:t>
      </w:r>
      <w:proofErr w:type="spellStart"/>
      <w:r w:rsidR="00994BDB" w:rsidRPr="00DD09EB">
        <w:rPr>
          <w:i/>
          <w:iCs/>
        </w:rPr>
        <w:t>não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existem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maiores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subsídios</w:t>
      </w:r>
      <w:proofErr w:type="spellEnd"/>
      <w:r w:rsidR="00994BDB" w:rsidRPr="00DD09EB">
        <w:rPr>
          <w:i/>
          <w:iCs/>
        </w:rPr>
        <w:t xml:space="preserve"> </w:t>
      </w:r>
      <w:proofErr w:type="spellStart"/>
      <w:r w:rsidR="00994BDB" w:rsidRPr="00DD09EB">
        <w:rPr>
          <w:i/>
          <w:iCs/>
        </w:rPr>
        <w:t>informacionais</w:t>
      </w:r>
      <w:proofErr w:type="spellEnd"/>
      <w:r w:rsidR="00994BDB" w:rsidRPr="00DD09EB">
        <w:rPr>
          <w:i/>
          <w:iCs/>
        </w:rPr>
        <w:t xml:space="preserve"> do que o </w:t>
      </w:r>
      <w:proofErr w:type="spellStart"/>
      <w:r w:rsidR="00994BDB" w:rsidRPr="00DD09EB">
        <w:rPr>
          <w:i/>
          <w:iCs/>
        </w:rPr>
        <w:t>já</w:t>
      </w:r>
      <w:proofErr w:type="spellEnd"/>
      <w:r w:rsidR="00994BDB" w:rsidRPr="00DD09EB">
        <w:rPr>
          <w:i/>
          <w:iCs/>
        </w:rPr>
        <w:t xml:space="preserve"> esperado</w:t>
      </w:r>
      <w:r w:rsidR="00DD09EB">
        <w:rPr>
          <w:i/>
          <w:iCs/>
        </w:rPr>
        <w:t xml:space="preserve"> </w:t>
      </w:r>
      <w:r w:rsidR="00994BDB" w:rsidRPr="00DD09EB">
        <w:rPr>
          <w:i/>
          <w:iCs/>
        </w:rPr>
        <w:t>pelo mercado</w:t>
      </w:r>
      <w:r w:rsidRPr="00DD09EB">
        <w:rPr>
          <w:i/>
          <w:iCs/>
        </w:rPr>
        <w:t>.</w:t>
      </w:r>
      <w:r>
        <w:t>”</w:t>
      </w:r>
      <w:r w:rsidR="00DD09EB">
        <w:t xml:space="preserve"> En Colombia podríamos hacer estudios similares para comprobar el grado de aplicación de ciertas normas ya incorporadas al derecho contable colombiano.</w:t>
      </w:r>
      <w:r w:rsidR="00C5257F">
        <w:t xml:space="preserve"> El estudio citado por el artículo se basó en información difundida por las empresas mencionadas. Se creería que ellas deberían tener altísimos puntajes, pero no fue así. “</w:t>
      </w:r>
      <w:r w:rsidR="00C5257F" w:rsidRPr="004C77C1">
        <w:rPr>
          <w:i/>
          <w:iCs/>
        </w:rPr>
        <w:t xml:space="preserve">Los resultados muestran que ninguna empresa presentó una amplia adherencia a la nueva norma. La empresa Telefónica Vivo Brasil fue la que presentó el mayor nivel, 56,25%, mientras que la empresa </w:t>
      </w:r>
      <w:proofErr w:type="spellStart"/>
      <w:r w:rsidR="00C5257F" w:rsidRPr="004C77C1">
        <w:rPr>
          <w:i/>
          <w:iCs/>
        </w:rPr>
        <w:t>Telebrás</w:t>
      </w:r>
      <w:proofErr w:type="spellEnd"/>
      <w:r w:rsidR="00C5257F" w:rsidRPr="004C77C1">
        <w:rPr>
          <w:i/>
          <w:iCs/>
        </w:rPr>
        <w:t xml:space="preserve"> presentó el menor, 29,16%. Adicionalmente, se verificó si las empresas ya divulgaban su información de conformidad con la norma antes de convertirse en obligatoria, como forma de divulgación voluntaria. Las empresas OI S.A., </w:t>
      </w:r>
      <w:proofErr w:type="spellStart"/>
      <w:r w:rsidR="00C5257F" w:rsidRPr="004C77C1">
        <w:rPr>
          <w:i/>
          <w:iCs/>
        </w:rPr>
        <w:t>Telebrás</w:t>
      </w:r>
      <w:proofErr w:type="spellEnd"/>
      <w:r w:rsidR="00C5257F" w:rsidRPr="004C77C1">
        <w:rPr>
          <w:i/>
          <w:iCs/>
        </w:rPr>
        <w:t xml:space="preserve"> y Algar Telecom no presentaron ninguna mención al CPC 47 en los tres primeros trimestres del año 2017. Por otro lado, las empresas Telefónica Vivo Brasil y TIM </w:t>
      </w:r>
      <w:proofErr w:type="spellStart"/>
      <w:r w:rsidR="00C5257F" w:rsidRPr="004C77C1">
        <w:rPr>
          <w:i/>
          <w:iCs/>
        </w:rPr>
        <w:t>Participações</w:t>
      </w:r>
      <w:proofErr w:type="spellEnd"/>
      <w:r w:rsidR="00C5257F" w:rsidRPr="004C77C1">
        <w:rPr>
          <w:i/>
          <w:iCs/>
        </w:rPr>
        <w:t xml:space="preserve"> hicieron alusión a la norma desde el primer período analizado.</w:t>
      </w:r>
      <w:r w:rsidR="00C5257F">
        <w:t>”</w:t>
      </w:r>
    </w:p>
    <w:p w14:paraId="31E3ED81" w14:textId="4AF39201" w:rsidR="004C77C1" w:rsidRPr="009B1944" w:rsidRDefault="004C77C1" w:rsidP="004C77C1">
      <w:pPr>
        <w:jc w:val="right"/>
      </w:pPr>
      <w:r w:rsidRPr="003C4ED4">
        <w:rPr>
          <w:i/>
          <w:iCs/>
        </w:rPr>
        <w:t>Hernando Bermúdez Gómez</w:t>
      </w:r>
    </w:p>
    <w:sectPr w:rsidR="004C77C1" w:rsidRPr="009B1944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F2C3" w14:textId="77777777" w:rsidR="00D323DF" w:rsidRDefault="00D323DF" w:rsidP="00EE7812">
      <w:pPr>
        <w:spacing w:after="0" w:line="240" w:lineRule="auto"/>
      </w:pPr>
      <w:r>
        <w:separator/>
      </w:r>
    </w:p>
  </w:endnote>
  <w:endnote w:type="continuationSeparator" w:id="0">
    <w:p w14:paraId="608D284A" w14:textId="77777777" w:rsidR="00D323DF" w:rsidRDefault="00D323D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5FB9C0B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AE081F">
      <w:t xml:space="preserve"> </w:t>
    </w:r>
    <w:r w:rsidR="00994BD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7DB2" w14:textId="77777777" w:rsidR="00D323DF" w:rsidRDefault="00D323DF" w:rsidP="00EE7812">
      <w:pPr>
        <w:spacing w:after="0" w:line="240" w:lineRule="auto"/>
      </w:pPr>
      <w:r>
        <w:separator/>
      </w:r>
    </w:p>
  </w:footnote>
  <w:footnote w:type="continuationSeparator" w:id="0">
    <w:p w14:paraId="7F4D0E48" w14:textId="77777777" w:rsidR="00D323DF" w:rsidRDefault="00D323D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2613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0EB3E48B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54525EF7" w14:textId="4B5B483D" w:rsidR="00684621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1242D9">
      <w:t>9</w:t>
    </w:r>
    <w:r w:rsidR="00FC6878">
      <w:t>3</w:t>
    </w:r>
    <w:r w:rsidR="004964E6">
      <w:t>5</w:t>
    </w:r>
    <w:r>
      <w:t>,</w:t>
    </w:r>
    <w:r w:rsidR="00AD1603">
      <w:t xml:space="preserve"> </w:t>
    </w:r>
    <w:r w:rsidR="00E40860">
      <w:t>1</w:t>
    </w:r>
    <w:r w:rsidR="00EA0220">
      <w:t>7</w:t>
    </w:r>
    <w:r w:rsidR="009365CF">
      <w:t xml:space="preserve"> de </w:t>
    </w:r>
    <w:r w:rsidR="00424747">
      <w:t>octubre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  <w:r w:rsidR="00D323DF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  <w:p w14:paraId="07EF234E" w14:textId="77777777" w:rsidR="00994BDB" w:rsidRDefault="00994BDB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297377">
    <w:abstractNumId w:val="0"/>
  </w:num>
  <w:num w:numId="2" w16cid:durableId="1551840332">
    <w:abstractNumId w:val="20"/>
  </w:num>
  <w:num w:numId="3" w16cid:durableId="85617242">
    <w:abstractNumId w:val="15"/>
  </w:num>
  <w:num w:numId="4" w16cid:durableId="224684035">
    <w:abstractNumId w:val="2"/>
  </w:num>
  <w:num w:numId="5" w16cid:durableId="2027636301">
    <w:abstractNumId w:val="19"/>
  </w:num>
  <w:num w:numId="6" w16cid:durableId="1903056586">
    <w:abstractNumId w:val="34"/>
  </w:num>
  <w:num w:numId="7" w16cid:durableId="1938364624">
    <w:abstractNumId w:val="13"/>
  </w:num>
  <w:num w:numId="8" w16cid:durableId="293025263">
    <w:abstractNumId w:val="32"/>
  </w:num>
  <w:num w:numId="9" w16cid:durableId="1829201302">
    <w:abstractNumId w:val="37"/>
  </w:num>
  <w:num w:numId="10" w16cid:durableId="1837574659">
    <w:abstractNumId w:val="4"/>
  </w:num>
  <w:num w:numId="11" w16cid:durableId="431583536">
    <w:abstractNumId w:val="6"/>
  </w:num>
  <w:num w:numId="12" w16cid:durableId="848181174">
    <w:abstractNumId w:val="18"/>
  </w:num>
  <w:num w:numId="13" w16cid:durableId="1555040675">
    <w:abstractNumId w:val="21"/>
  </w:num>
  <w:num w:numId="14" w16cid:durableId="895242101">
    <w:abstractNumId w:val="31"/>
  </w:num>
  <w:num w:numId="15" w16cid:durableId="60255155">
    <w:abstractNumId w:val="9"/>
  </w:num>
  <w:num w:numId="16" w16cid:durableId="1726638958">
    <w:abstractNumId w:val="7"/>
  </w:num>
  <w:num w:numId="17" w16cid:durableId="1824813339">
    <w:abstractNumId w:val="16"/>
  </w:num>
  <w:num w:numId="18" w16cid:durableId="1639265480">
    <w:abstractNumId w:val="30"/>
  </w:num>
  <w:num w:numId="19" w16cid:durableId="1538661780">
    <w:abstractNumId w:val="25"/>
  </w:num>
  <w:num w:numId="20" w16cid:durableId="874466345">
    <w:abstractNumId w:val="8"/>
  </w:num>
  <w:num w:numId="21" w16cid:durableId="1240990919">
    <w:abstractNumId w:val="26"/>
  </w:num>
  <w:num w:numId="22" w16cid:durableId="1327636123">
    <w:abstractNumId w:val="27"/>
  </w:num>
  <w:num w:numId="23" w16cid:durableId="836580304">
    <w:abstractNumId w:val="28"/>
  </w:num>
  <w:num w:numId="24" w16cid:durableId="428626009">
    <w:abstractNumId w:val="33"/>
  </w:num>
  <w:num w:numId="25" w16cid:durableId="378670909">
    <w:abstractNumId w:val="22"/>
  </w:num>
  <w:num w:numId="26" w16cid:durableId="1011490145">
    <w:abstractNumId w:val="14"/>
  </w:num>
  <w:num w:numId="27" w16cid:durableId="746851047">
    <w:abstractNumId w:val="5"/>
  </w:num>
  <w:num w:numId="28" w16cid:durableId="1612276656">
    <w:abstractNumId w:val="23"/>
  </w:num>
  <w:num w:numId="29" w16cid:durableId="320275365">
    <w:abstractNumId w:val="1"/>
  </w:num>
  <w:num w:numId="30" w16cid:durableId="789544783">
    <w:abstractNumId w:val="24"/>
  </w:num>
  <w:num w:numId="31" w16cid:durableId="1441218010">
    <w:abstractNumId w:val="29"/>
  </w:num>
  <w:num w:numId="32" w16cid:durableId="1549149394">
    <w:abstractNumId w:val="12"/>
  </w:num>
  <w:num w:numId="33" w16cid:durableId="1469936506">
    <w:abstractNumId w:val="17"/>
  </w:num>
  <w:num w:numId="34" w16cid:durableId="1899395210">
    <w:abstractNumId w:val="3"/>
  </w:num>
  <w:num w:numId="35" w16cid:durableId="560136386">
    <w:abstractNumId w:val="35"/>
  </w:num>
  <w:num w:numId="36" w16cid:durableId="547687313">
    <w:abstractNumId w:val="10"/>
  </w:num>
  <w:num w:numId="37" w16cid:durableId="544683353">
    <w:abstractNumId w:val="11"/>
  </w:num>
  <w:num w:numId="38" w16cid:durableId="1107581838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798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00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8C"/>
    <w:rsid w:val="00085EE9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7A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2D"/>
    <w:rsid w:val="0012564B"/>
    <w:rsid w:val="00125679"/>
    <w:rsid w:val="00125686"/>
    <w:rsid w:val="001256D9"/>
    <w:rsid w:val="00125743"/>
    <w:rsid w:val="001257D4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C0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3D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00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7B7"/>
    <w:rsid w:val="00352863"/>
    <w:rsid w:val="0035286B"/>
    <w:rsid w:val="003528B5"/>
    <w:rsid w:val="003528BF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A"/>
    <w:rsid w:val="0036482B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E3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94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B98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69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78F"/>
    <w:rsid w:val="00552859"/>
    <w:rsid w:val="005528A9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B"/>
    <w:rsid w:val="005855D7"/>
    <w:rsid w:val="0058567F"/>
    <w:rsid w:val="00585723"/>
    <w:rsid w:val="00585923"/>
    <w:rsid w:val="00585A48"/>
    <w:rsid w:val="00585B0D"/>
    <w:rsid w:val="00585B9E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7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2AB"/>
    <w:rsid w:val="00603347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10"/>
    <w:rsid w:val="00655CE1"/>
    <w:rsid w:val="00655D11"/>
    <w:rsid w:val="00655D30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B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CE9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7C"/>
    <w:rsid w:val="00857705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96"/>
    <w:rsid w:val="008845A9"/>
    <w:rsid w:val="008845F6"/>
    <w:rsid w:val="008845FB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C2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B34"/>
    <w:rsid w:val="008C4C24"/>
    <w:rsid w:val="008C4C99"/>
    <w:rsid w:val="008C4E8C"/>
    <w:rsid w:val="008C4EA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8B0"/>
    <w:rsid w:val="008C7941"/>
    <w:rsid w:val="008C7970"/>
    <w:rsid w:val="008C798B"/>
    <w:rsid w:val="008C79A3"/>
    <w:rsid w:val="008C7A40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6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8B4"/>
    <w:rsid w:val="00924B42"/>
    <w:rsid w:val="00924BC6"/>
    <w:rsid w:val="00924C07"/>
    <w:rsid w:val="00924C6C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0FD8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71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82E"/>
    <w:rsid w:val="00BA1897"/>
    <w:rsid w:val="00BA18B8"/>
    <w:rsid w:val="00BA18B9"/>
    <w:rsid w:val="00BA18BC"/>
    <w:rsid w:val="00BA19DB"/>
    <w:rsid w:val="00BA1A0D"/>
    <w:rsid w:val="00BA1A61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22"/>
    <w:rsid w:val="00BE3759"/>
    <w:rsid w:val="00BE3798"/>
    <w:rsid w:val="00BE38FD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A5"/>
    <w:rsid w:val="00C844D5"/>
    <w:rsid w:val="00C84588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9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3DF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1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DC"/>
    <w:rsid w:val="00DD7DD9"/>
    <w:rsid w:val="00DD7DED"/>
    <w:rsid w:val="00DD7E3E"/>
    <w:rsid w:val="00DD7E56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60"/>
    <w:rsid w:val="00E40884"/>
    <w:rsid w:val="00E40953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E8"/>
    <w:rsid w:val="00E80EF0"/>
    <w:rsid w:val="00E80FA7"/>
    <w:rsid w:val="00E80FD7"/>
    <w:rsid w:val="00E810A5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2FA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2BF6-57BA-42EA-BC4F-34091D74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3209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2022-10-15T22:16:00Z</dcterms:created>
  <dcterms:modified xsi:type="dcterms:W3CDTF">2022-10-15T22:16:00Z</dcterms:modified>
</cp:coreProperties>
</file>