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BDBC6" w14:textId="042CFD90" w:rsidR="00B42591" w:rsidRPr="00B42591" w:rsidRDefault="00B42591" w:rsidP="00B42591">
      <w:pPr>
        <w:keepNext/>
        <w:framePr w:dropCap="drop" w:lines="3" w:wrap="around" w:vAnchor="text" w:hAnchor="text"/>
        <w:spacing w:after="0" w:line="926" w:lineRule="exact"/>
        <w:textAlignment w:val="baseline"/>
        <w:rPr>
          <w:position w:val="-9"/>
          <w:sz w:val="123"/>
        </w:rPr>
      </w:pPr>
      <w:r w:rsidRPr="00B42591">
        <w:rPr>
          <w:position w:val="-9"/>
          <w:sz w:val="123"/>
        </w:rPr>
        <w:t>E</w:t>
      </w:r>
    </w:p>
    <w:p w14:paraId="4F77B609" w14:textId="3FAA19FF" w:rsidR="00B42591" w:rsidRPr="00B42591" w:rsidRDefault="00B42591" w:rsidP="00B42591">
      <w:r w:rsidRPr="00B42591">
        <w:t>n el documento denominado: “</w:t>
      </w:r>
      <w:proofErr w:type="spellStart"/>
      <w:r w:rsidR="009C4EAE">
        <w:fldChar w:fldCharType="begin"/>
      </w:r>
      <w:r w:rsidR="009C4EAE">
        <w:instrText xml:space="preserve"> HYPERLINK "https://journals.sagepub.com/doi/full/10.1177/0148558X20953059" </w:instrText>
      </w:r>
      <w:r w:rsidR="009C4EAE">
        <w:fldChar w:fldCharType="separate"/>
      </w:r>
      <w:r w:rsidRPr="00B42591">
        <w:rPr>
          <w:rStyle w:val="Hyperlink"/>
          <w:i/>
          <w:iCs/>
        </w:rPr>
        <w:t>The</w:t>
      </w:r>
      <w:proofErr w:type="spellEnd"/>
      <w:r w:rsidRPr="00B42591">
        <w:rPr>
          <w:rStyle w:val="Hyperlink"/>
          <w:i/>
          <w:iCs/>
        </w:rPr>
        <w:t xml:space="preserve"> Relative </w:t>
      </w:r>
      <w:proofErr w:type="spellStart"/>
      <w:r w:rsidRPr="00B42591">
        <w:rPr>
          <w:rStyle w:val="Hyperlink"/>
          <w:i/>
          <w:iCs/>
        </w:rPr>
        <w:t>Importance</w:t>
      </w:r>
      <w:proofErr w:type="spellEnd"/>
      <w:r w:rsidRPr="00B42591">
        <w:rPr>
          <w:rStyle w:val="Hyperlink"/>
          <w:i/>
          <w:iCs/>
        </w:rPr>
        <w:t xml:space="preserve"> </w:t>
      </w:r>
      <w:proofErr w:type="spellStart"/>
      <w:r w:rsidRPr="00B42591">
        <w:rPr>
          <w:rStyle w:val="Hyperlink"/>
          <w:i/>
          <w:iCs/>
        </w:rPr>
        <w:t>of</w:t>
      </w:r>
      <w:proofErr w:type="spellEnd"/>
      <w:r w:rsidRPr="00B42591">
        <w:rPr>
          <w:rStyle w:val="Hyperlink"/>
          <w:i/>
          <w:iCs/>
        </w:rPr>
        <w:t xml:space="preserve"> Auditor </w:t>
      </w:r>
      <w:proofErr w:type="spellStart"/>
      <w:r w:rsidRPr="00B42591">
        <w:rPr>
          <w:rStyle w:val="Hyperlink"/>
          <w:i/>
          <w:iCs/>
        </w:rPr>
        <w:t>Characteristics</w:t>
      </w:r>
      <w:proofErr w:type="spellEnd"/>
      <w:r w:rsidRPr="00B42591">
        <w:rPr>
          <w:rStyle w:val="Hyperlink"/>
          <w:i/>
          <w:iCs/>
        </w:rPr>
        <w:t xml:space="preserve"> Versus Client </w:t>
      </w:r>
      <w:proofErr w:type="spellStart"/>
      <w:r w:rsidRPr="00B42591">
        <w:rPr>
          <w:rStyle w:val="Hyperlink"/>
          <w:i/>
          <w:iCs/>
        </w:rPr>
        <w:t>Factors</w:t>
      </w:r>
      <w:proofErr w:type="spellEnd"/>
      <w:r w:rsidRPr="00B42591">
        <w:rPr>
          <w:rStyle w:val="Hyperlink"/>
          <w:i/>
          <w:iCs/>
        </w:rPr>
        <w:t xml:space="preserve"> in </w:t>
      </w:r>
      <w:proofErr w:type="spellStart"/>
      <w:r w:rsidRPr="00B42591">
        <w:rPr>
          <w:rStyle w:val="Hyperlink"/>
          <w:i/>
          <w:iCs/>
        </w:rPr>
        <w:t>Explaining</w:t>
      </w:r>
      <w:proofErr w:type="spellEnd"/>
      <w:r w:rsidRPr="00B42591">
        <w:rPr>
          <w:rStyle w:val="Hyperlink"/>
          <w:i/>
          <w:iCs/>
        </w:rPr>
        <w:t xml:space="preserve"> Audit </w:t>
      </w:r>
      <w:proofErr w:type="spellStart"/>
      <w:r w:rsidRPr="00B42591">
        <w:rPr>
          <w:rStyle w:val="Hyperlink"/>
          <w:i/>
          <w:iCs/>
        </w:rPr>
        <w:t>Quality</w:t>
      </w:r>
      <w:proofErr w:type="spellEnd"/>
      <w:r w:rsidR="009C4EAE">
        <w:rPr>
          <w:rStyle w:val="Hyperlink"/>
          <w:i/>
          <w:iCs/>
        </w:rPr>
        <w:fldChar w:fldCharType="end"/>
      </w:r>
      <w:r w:rsidRPr="00B42591">
        <w:t xml:space="preserve">” de </w:t>
      </w:r>
      <w:hyperlink r:id="rId8" w:history="1">
        <w:r w:rsidRPr="00B42591">
          <w:rPr>
            <w:rStyle w:val="Hyperlink"/>
            <w:i/>
            <w:iCs/>
          </w:rPr>
          <w:t>Mara Camera</w:t>
        </w:r>
      </w:hyperlink>
      <w:r w:rsidRPr="00B42591">
        <w:t xml:space="preserve">, Campa y Francis (2020), muestra la importancia de las características del auditor para explicar la calidad de la auditoría, después de controlar los factores del cliente. La calidad de la auditoría se evalúa a través de la calidad de las ganancias auditadas, representadas por acumulaciones anormales y </w:t>
      </w:r>
      <w:proofErr w:type="spellStart"/>
      <w:r w:rsidRPr="00B42591">
        <w:t>re-expresiones</w:t>
      </w:r>
      <w:proofErr w:type="spellEnd"/>
      <w:r w:rsidRPr="00B42591">
        <w:t xml:space="preserve"> financieras, y la probabilidad de que un auditor emita un informe de auditoría de negocio en marcha.</w:t>
      </w:r>
      <w:r w:rsidR="000D7361">
        <w:t xml:space="preserve"> </w:t>
      </w:r>
      <w:r w:rsidRPr="00B42591">
        <w:t>Las empresas que cotizan en bolsa en el Reino Unido se utilizaron para investigar si los atributos del auditor (efectos fijos para las empresas de auditoría, las oficinas de auditoría y los socios de auditoría) se suman de forma incremental a los modelos de referencia con controles del cliente para explicar la calidad de la auditoría.</w:t>
      </w:r>
      <w:r w:rsidR="000D7361">
        <w:t xml:space="preserve"> </w:t>
      </w:r>
      <w:r w:rsidRPr="00B42591">
        <w:t xml:space="preserve">Los autores generaron una serie de diferencias significativas, entre oficinas, pero también con respecto a socios al interior de esas oficinas, demostrando así la forma en como el análisis varía </w:t>
      </w:r>
      <w:r w:rsidR="000D7361" w:rsidRPr="00B42591">
        <w:t>de acuerdo con</w:t>
      </w:r>
      <w:r w:rsidRPr="00B42591">
        <w:t xml:space="preserve"> la calidad de la auditoría, pero también con respecto a la demografía de los clientes, que resulta ser sumamente necesaria al interior de este tipo de estudios y de análisis investigativos. Así, la comprensibilidad que generan estos </w:t>
      </w:r>
      <w:r w:rsidR="000D7361" w:rsidRPr="00B42591">
        <w:t>autores</w:t>
      </w:r>
      <w:r w:rsidRPr="00B42591">
        <w:t xml:space="preserve"> radica en visualizar la causa de la variación de los socios. In</w:t>
      </w:r>
      <w:r w:rsidR="000D7361">
        <w:t>ves</w:t>
      </w:r>
      <w:r w:rsidRPr="00B42591">
        <w:t>tiga</w:t>
      </w:r>
      <w:r w:rsidR="000D7361">
        <w:t>r</w:t>
      </w:r>
      <w:r w:rsidRPr="00B42591">
        <w:t xml:space="preserve"> </w:t>
      </w:r>
      <w:r w:rsidR="000D7361">
        <w:t>esto</w:t>
      </w:r>
      <w:r w:rsidRPr="00B42591">
        <w:t xml:space="preserve"> </w:t>
      </w:r>
      <w:r w:rsidR="000D7361">
        <w:t>es</w:t>
      </w:r>
      <w:r w:rsidRPr="00B42591">
        <w:t xml:space="preserve"> fundamental porque estos van a generar una revisión de los efectos fijos de estos, pero también, la poca variación que se encuentra entre las empresas y las oficinas. A su vez, se planteó que “</w:t>
      </w:r>
      <w:r w:rsidRPr="00B42591">
        <w:rPr>
          <w:i/>
          <w:iCs/>
        </w:rPr>
        <w:t xml:space="preserve">las firmas de contabilidad desarrollan enfoques de prueba estandarizados e </w:t>
      </w:r>
      <w:r w:rsidRPr="00B42591">
        <w:rPr>
          <w:i/>
          <w:iCs/>
        </w:rPr>
        <w:t>implementan sistemas de control de calidad para garantizar una calidad de auditoría uniforme en todos los compromisos. Sin embargo, las firmas contables están organizadas como redes de oficinas descentralizadas para la entrega de auditorías a los clientes, lo que también significa que los procedimientos de prueba y los sistemas de control de una firma contable se implementan a nivel de oficina descentralizada (aunque con supervisión). La estructura de oficina descentralizada significa que existe la posibilidad de una variación sistemática entre oficinas en las auditorías de la empresa</w:t>
      </w:r>
      <w:r w:rsidRPr="00B42591">
        <w:t>”. Se logró concluir que la variación de socios resulta ser sumamente importante. Otros estudios han examinado los efectos de las características de la oficina de auditoría y las variables demográficas de los socios individuales en los resultados de la auditoría. Pero estos estudios se enfocan generalmente en una sola característica del auditor e ignoran otros factores del auditor que también podrían afectar la calidad de la auditoría. En contraste, el estudio toma un enfoque más sistemático y completo para estudiar los efectos del auditor.</w:t>
      </w:r>
      <w:r w:rsidR="000D7361">
        <w:t xml:space="preserve"> </w:t>
      </w:r>
      <w:r w:rsidRPr="00B42591">
        <w:t xml:space="preserve">En conclusión, el objetivo principal del estudio fue orientar sobre otros elementos que afectan la calidad de la auditoría, y que se deben considerar al momento de evaluar o medir la calidad de la auditoría. Aunque los auditores estandaricen sus procesos para obtener pruebas suficientes en relación con los riesgos evaluados, siempre habrá otros elementos que impactan la calidad entre los mismos servicios que ofrece la firma. </w:t>
      </w:r>
    </w:p>
    <w:p w14:paraId="09E12D1C" w14:textId="17795392" w:rsidR="00E15A50" w:rsidRPr="00B42591" w:rsidRDefault="00B42591" w:rsidP="000D7361">
      <w:pPr>
        <w:jc w:val="right"/>
      </w:pPr>
      <w:r w:rsidRPr="00B42591">
        <w:rPr>
          <w:i/>
          <w:iCs/>
        </w:rPr>
        <w:t>Juan José Trejos Ospina</w:t>
      </w:r>
    </w:p>
    <w:sectPr w:rsidR="00E15A50" w:rsidRPr="00B425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13593" w14:textId="77777777" w:rsidR="009C4EAE" w:rsidRDefault="009C4EAE" w:rsidP="00EE7812">
      <w:pPr>
        <w:spacing w:after="0" w:line="240" w:lineRule="auto"/>
      </w:pPr>
      <w:r>
        <w:separator/>
      </w:r>
    </w:p>
  </w:endnote>
  <w:endnote w:type="continuationSeparator" w:id="0">
    <w:p w14:paraId="21009433" w14:textId="77777777" w:rsidR="009C4EAE" w:rsidRDefault="009C4E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7F7F" w14:textId="77777777" w:rsidR="009C4EAE" w:rsidRDefault="009C4EAE" w:rsidP="00EE7812">
      <w:pPr>
        <w:spacing w:after="0" w:line="240" w:lineRule="auto"/>
      </w:pPr>
      <w:r>
        <w:separator/>
      </w:r>
    </w:p>
  </w:footnote>
  <w:footnote w:type="continuationSeparator" w:id="0">
    <w:p w14:paraId="7E85C4B6" w14:textId="77777777" w:rsidR="009C4EAE" w:rsidRDefault="009C4E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A080407"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C7587">
      <w:t>5</w:t>
    </w:r>
    <w:r w:rsidR="00171A5F">
      <w:t>2</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9C4EAE">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3061539">
    <w:abstractNumId w:val="0"/>
  </w:num>
  <w:num w:numId="2" w16cid:durableId="767968814">
    <w:abstractNumId w:val="20"/>
  </w:num>
  <w:num w:numId="3" w16cid:durableId="2124422685">
    <w:abstractNumId w:val="15"/>
  </w:num>
  <w:num w:numId="4" w16cid:durableId="524826888">
    <w:abstractNumId w:val="2"/>
  </w:num>
  <w:num w:numId="5" w16cid:durableId="1730222799">
    <w:abstractNumId w:val="19"/>
  </w:num>
  <w:num w:numId="6" w16cid:durableId="80953730">
    <w:abstractNumId w:val="34"/>
  </w:num>
  <w:num w:numId="7" w16cid:durableId="1779640643">
    <w:abstractNumId w:val="13"/>
  </w:num>
  <w:num w:numId="8" w16cid:durableId="263533842">
    <w:abstractNumId w:val="32"/>
  </w:num>
  <w:num w:numId="9" w16cid:durableId="718895515">
    <w:abstractNumId w:val="37"/>
  </w:num>
  <w:num w:numId="10" w16cid:durableId="1293169885">
    <w:abstractNumId w:val="4"/>
  </w:num>
  <w:num w:numId="11" w16cid:durableId="579219730">
    <w:abstractNumId w:val="6"/>
  </w:num>
  <w:num w:numId="12" w16cid:durableId="1815027063">
    <w:abstractNumId w:val="18"/>
  </w:num>
  <w:num w:numId="13" w16cid:durableId="851185680">
    <w:abstractNumId w:val="21"/>
  </w:num>
  <w:num w:numId="14" w16cid:durableId="1192574762">
    <w:abstractNumId w:val="31"/>
  </w:num>
  <w:num w:numId="15" w16cid:durableId="177231569">
    <w:abstractNumId w:val="9"/>
  </w:num>
  <w:num w:numId="16" w16cid:durableId="1726564815">
    <w:abstractNumId w:val="7"/>
  </w:num>
  <w:num w:numId="17" w16cid:durableId="1132284374">
    <w:abstractNumId w:val="16"/>
  </w:num>
  <w:num w:numId="18" w16cid:durableId="353582083">
    <w:abstractNumId w:val="30"/>
  </w:num>
  <w:num w:numId="19" w16cid:durableId="740323822">
    <w:abstractNumId w:val="25"/>
  </w:num>
  <w:num w:numId="20" w16cid:durableId="2122844158">
    <w:abstractNumId w:val="8"/>
  </w:num>
  <w:num w:numId="21" w16cid:durableId="964694990">
    <w:abstractNumId w:val="26"/>
  </w:num>
  <w:num w:numId="22" w16cid:durableId="356393795">
    <w:abstractNumId w:val="27"/>
  </w:num>
  <w:num w:numId="23" w16cid:durableId="1414816271">
    <w:abstractNumId w:val="28"/>
  </w:num>
  <w:num w:numId="24" w16cid:durableId="1961689644">
    <w:abstractNumId w:val="33"/>
  </w:num>
  <w:num w:numId="25" w16cid:durableId="1775829723">
    <w:abstractNumId w:val="22"/>
  </w:num>
  <w:num w:numId="26" w16cid:durableId="1047141722">
    <w:abstractNumId w:val="14"/>
  </w:num>
  <w:num w:numId="27" w16cid:durableId="1533760204">
    <w:abstractNumId w:val="5"/>
  </w:num>
  <w:num w:numId="28" w16cid:durableId="412629606">
    <w:abstractNumId w:val="23"/>
  </w:num>
  <w:num w:numId="29" w16cid:durableId="1693339410">
    <w:abstractNumId w:val="1"/>
  </w:num>
  <w:num w:numId="30" w16cid:durableId="1078939136">
    <w:abstractNumId w:val="24"/>
  </w:num>
  <w:num w:numId="31" w16cid:durableId="1001591221">
    <w:abstractNumId w:val="29"/>
  </w:num>
  <w:num w:numId="32" w16cid:durableId="1438913570">
    <w:abstractNumId w:val="12"/>
  </w:num>
  <w:num w:numId="33" w16cid:durableId="629557771">
    <w:abstractNumId w:val="17"/>
  </w:num>
  <w:num w:numId="34" w16cid:durableId="830750810">
    <w:abstractNumId w:val="3"/>
  </w:num>
  <w:num w:numId="35" w16cid:durableId="66343589">
    <w:abstractNumId w:val="35"/>
  </w:num>
  <w:num w:numId="36" w16cid:durableId="1578397765">
    <w:abstractNumId w:val="10"/>
  </w:num>
  <w:num w:numId="37" w16cid:durableId="1677030670">
    <w:abstractNumId w:val="11"/>
  </w:num>
  <w:num w:numId="38" w16cid:durableId="11198335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46"/>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D3"/>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4EAE"/>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styleId="UnresolvedMention">
    <w:name w:val="Unresolved Mention"/>
    <w:basedOn w:val="DefaultParagraphFont"/>
    <w:uiPriority w:val="99"/>
    <w:semiHidden/>
    <w:unhideWhenUsed/>
    <w:rsid w:val="007F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480-92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0A36-0C78-4215-9EEF-AFA3B452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2901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2022-10-23T19:52:00Z</dcterms:created>
  <dcterms:modified xsi:type="dcterms:W3CDTF">2022-10-23T19:52:00Z</dcterms:modified>
</cp:coreProperties>
</file>