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D6BC" w14:textId="7FE20F8C" w:rsidR="004E514F" w:rsidRPr="004E514F" w:rsidRDefault="004E514F" w:rsidP="004E514F">
      <w:pPr>
        <w:keepNext/>
        <w:framePr w:dropCap="drop" w:lines="3" w:wrap="around" w:vAnchor="text" w:hAnchor="text"/>
        <w:spacing w:after="0" w:line="1526" w:lineRule="exact"/>
        <w:textAlignment w:val="baseline"/>
        <w:rPr>
          <w:position w:val="1"/>
          <w:sz w:val="183"/>
        </w:rPr>
      </w:pPr>
      <w:r w:rsidRPr="004E514F">
        <w:rPr>
          <w:position w:val="1"/>
          <w:sz w:val="183"/>
        </w:rPr>
        <w:t>U</w:t>
      </w:r>
    </w:p>
    <w:p w14:paraId="568C61DE" w14:textId="3F68BA9A" w:rsidR="00B15A70" w:rsidRDefault="004E514F" w:rsidP="008E2858">
      <w:r>
        <w:t xml:space="preserve">n reciente estudio de </w:t>
      </w:r>
      <w:r w:rsidRPr="004E514F">
        <w:rPr>
          <w:smallCaps/>
        </w:rPr>
        <w:t>Ifac</w:t>
      </w:r>
      <w:r>
        <w:t xml:space="preserve">, titulado </w:t>
      </w:r>
      <w:hyperlink r:id="rId8" w:history="1">
        <w:proofErr w:type="spellStart"/>
        <w:r w:rsidRPr="00DB0FE2">
          <w:rPr>
            <w:rStyle w:val="Hyperlink"/>
          </w:rPr>
          <w:t>Getting</w:t>
        </w:r>
        <w:proofErr w:type="spellEnd"/>
        <w:r w:rsidRPr="00DB0FE2">
          <w:rPr>
            <w:rStyle w:val="Hyperlink"/>
          </w:rPr>
          <w:t xml:space="preserve"> </w:t>
        </w:r>
        <w:proofErr w:type="spellStart"/>
        <w:r w:rsidRPr="00DB0FE2">
          <w:rPr>
            <w:rStyle w:val="Hyperlink"/>
          </w:rPr>
          <w:t>to</w:t>
        </w:r>
        <w:proofErr w:type="spellEnd"/>
        <w:r w:rsidRPr="00DB0FE2">
          <w:rPr>
            <w:rStyle w:val="Hyperlink"/>
          </w:rPr>
          <w:t xml:space="preserve"> Net Zero: A Global </w:t>
        </w:r>
        <w:proofErr w:type="spellStart"/>
        <w:r w:rsidRPr="00DB0FE2">
          <w:rPr>
            <w:rStyle w:val="Hyperlink"/>
          </w:rPr>
          <w:t>Review</w:t>
        </w:r>
        <w:proofErr w:type="spellEnd"/>
        <w:r w:rsidRPr="00DB0FE2">
          <w:rPr>
            <w:rStyle w:val="Hyperlink"/>
          </w:rPr>
          <w:t xml:space="preserve"> </w:t>
        </w:r>
        <w:proofErr w:type="spellStart"/>
        <w:r w:rsidRPr="00DB0FE2">
          <w:rPr>
            <w:rStyle w:val="Hyperlink"/>
          </w:rPr>
          <w:t>of</w:t>
        </w:r>
        <w:proofErr w:type="spellEnd"/>
        <w:r w:rsidRPr="00DB0FE2">
          <w:rPr>
            <w:rStyle w:val="Hyperlink"/>
          </w:rPr>
          <w:t xml:space="preserve"> </w:t>
        </w:r>
        <w:proofErr w:type="spellStart"/>
        <w:r w:rsidRPr="00DB0FE2">
          <w:rPr>
            <w:rStyle w:val="Hyperlink"/>
          </w:rPr>
          <w:t>Corporate</w:t>
        </w:r>
        <w:proofErr w:type="spellEnd"/>
        <w:r w:rsidRPr="00DB0FE2">
          <w:rPr>
            <w:rStyle w:val="Hyperlink"/>
          </w:rPr>
          <w:t xml:space="preserve"> </w:t>
        </w:r>
        <w:proofErr w:type="spellStart"/>
        <w:r w:rsidRPr="00DB0FE2">
          <w:rPr>
            <w:rStyle w:val="Hyperlink"/>
          </w:rPr>
          <w:t>Disclosures</w:t>
        </w:r>
        <w:proofErr w:type="spellEnd"/>
      </w:hyperlink>
      <w:r>
        <w:t xml:space="preserve">, se fija en los siguientes pronunciamientos: </w:t>
      </w:r>
      <w:r w:rsidRPr="004E514F">
        <w:t>TCFD</w:t>
      </w:r>
      <w:r>
        <w:t xml:space="preserve"> (</w:t>
      </w:r>
      <w:proofErr w:type="spellStart"/>
      <w:r w:rsidRPr="004E514F">
        <w:t>Task</w:t>
      </w:r>
      <w:proofErr w:type="spellEnd"/>
      <w:r w:rsidRPr="004E514F">
        <w:t xml:space="preserve"> </w:t>
      </w:r>
      <w:proofErr w:type="spellStart"/>
      <w:r w:rsidRPr="004E514F">
        <w:t>Force</w:t>
      </w:r>
      <w:proofErr w:type="spellEnd"/>
      <w:r w:rsidRPr="004E514F">
        <w:t xml:space="preserve"> </w:t>
      </w:r>
      <w:proofErr w:type="spellStart"/>
      <w:r w:rsidRPr="004E514F">
        <w:t>on</w:t>
      </w:r>
      <w:proofErr w:type="spellEnd"/>
      <w:r w:rsidRPr="004E514F">
        <w:t xml:space="preserve"> </w:t>
      </w:r>
      <w:proofErr w:type="spellStart"/>
      <w:r w:rsidRPr="004E514F">
        <w:t>Climate-related</w:t>
      </w:r>
      <w:proofErr w:type="spellEnd"/>
      <w:r w:rsidRPr="004E514F">
        <w:t xml:space="preserve"> Financial </w:t>
      </w:r>
      <w:proofErr w:type="spellStart"/>
      <w:r w:rsidRPr="004E514F">
        <w:t>Disclosures</w:t>
      </w:r>
      <w:proofErr w:type="spellEnd"/>
      <w:r>
        <w:t>),</w:t>
      </w:r>
      <w:r w:rsidRPr="004E514F">
        <w:t xml:space="preserve"> Draft ISSB</w:t>
      </w:r>
      <w:r>
        <w:t xml:space="preserve"> (</w:t>
      </w:r>
      <w:r w:rsidRPr="004E514F">
        <w:t xml:space="preserve">International </w:t>
      </w:r>
      <w:proofErr w:type="spellStart"/>
      <w:r w:rsidRPr="004E514F">
        <w:t>Sustainability</w:t>
      </w:r>
      <w:proofErr w:type="spellEnd"/>
      <w:r w:rsidRPr="004E514F">
        <w:t xml:space="preserve"> </w:t>
      </w:r>
      <w:proofErr w:type="spellStart"/>
      <w:r w:rsidRPr="004E514F">
        <w:t>Standards</w:t>
      </w:r>
      <w:proofErr w:type="spellEnd"/>
      <w:r w:rsidRPr="004E514F">
        <w:t xml:space="preserve"> </w:t>
      </w:r>
      <w:proofErr w:type="spellStart"/>
      <w:r w:rsidRPr="004E514F">
        <w:t>Board</w:t>
      </w:r>
      <w:proofErr w:type="spellEnd"/>
      <w:r>
        <w:t>)</w:t>
      </w:r>
      <w:r w:rsidRPr="004E514F">
        <w:t xml:space="preserve"> IFRS S2</w:t>
      </w:r>
      <w:r>
        <w:t>,</w:t>
      </w:r>
      <w:r w:rsidRPr="004E514F">
        <w:t xml:space="preserve"> Draft ESRS</w:t>
      </w:r>
      <w:r>
        <w:t xml:space="preserve"> (</w:t>
      </w:r>
      <w:proofErr w:type="spellStart"/>
      <w:r w:rsidRPr="004E514F">
        <w:t>The</w:t>
      </w:r>
      <w:proofErr w:type="spellEnd"/>
      <w:r w:rsidRPr="004E514F">
        <w:t xml:space="preserve"> </w:t>
      </w:r>
      <w:proofErr w:type="spellStart"/>
      <w:r w:rsidRPr="004E514F">
        <w:t>European</w:t>
      </w:r>
      <w:proofErr w:type="spellEnd"/>
      <w:r w:rsidRPr="004E514F">
        <w:t xml:space="preserve"> </w:t>
      </w:r>
      <w:proofErr w:type="spellStart"/>
      <w:r w:rsidRPr="004E514F">
        <w:t>Union</w:t>
      </w:r>
      <w:proofErr w:type="spellEnd"/>
      <w:r w:rsidRPr="004E514F">
        <w:t xml:space="preserve"> </w:t>
      </w:r>
      <w:proofErr w:type="spellStart"/>
      <w:r w:rsidRPr="004E514F">
        <w:t>Sustainability</w:t>
      </w:r>
      <w:proofErr w:type="spellEnd"/>
      <w:r w:rsidRPr="004E514F">
        <w:t xml:space="preserve"> </w:t>
      </w:r>
      <w:proofErr w:type="spellStart"/>
      <w:r w:rsidRPr="004E514F">
        <w:t>Reporting</w:t>
      </w:r>
      <w:proofErr w:type="spellEnd"/>
      <w:r w:rsidRPr="004E514F">
        <w:t xml:space="preserve"> </w:t>
      </w:r>
      <w:proofErr w:type="spellStart"/>
      <w:r w:rsidRPr="004E514F">
        <w:t>Standards</w:t>
      </w:r>
      <w:proofErr w:type="spellEnd"/>
      <w:r>
        <w:t>)</w:t>
      </w:r>
      <w:r w:rsidRPr="004E514F">
        <w:t xml:space="preserve"> E1</w:t>
      </w:r>
      <w:r>
        <w:t xml:space="preserve"> y</w:t>
      </w:r>
      <w:r w:rsidRPr="004E514F">
        <w:t xml:space="preserve"> SEC </w:t>
      </w:r>
      <w:proofErr w:type="spellStart"/>
      <w:r w:rsidRPr="004E514F">
        <w:t>Climate</w:t>
      </w:r>
      <w:proofErr w:type="spellEnd"/>
      <w:r w:rsidRPr="004E514F">
        <w:t xml:space="preserve"> </w:t>
      </w:r>
      <w:proofErr w:type="spellStart"/>
      <w:r w:rsidRPr="004E514F">
        <w:t>Proposal</w:t>
      </w:r>
      <w:proofErr w:type="spellEnd"/>
      <w:r>
        <w:t>.</w:t>
      </w:r>
      <w:r w:rsidR="008E2858">
        <w:t xml:space="preserve"> Concluyeron que “</w:t>
      </w:r>
      <w:proofErr w:type="spellStart"/>
      <w:r w:rsidR="008E2858" w:rsidRPr="00DB0FE2">
        <w:rPr>
          <w:i/>
        </w:rPr>
        <w:t>This</w:t>
      </w:r>
      <w:proofErr w:type="spellEnd"/>
      <w:r w:rsidR="008E2858" w:rsidRPr="00DB0FE2">
        <w:rPr>
          <w:i/>
        </w:rPr>
        <w:t xml:space="preserve"> new </w:t>
      </w:r>
      <w:proofErr w:type="spellStart"/>
      <w:r w:rsidR="008E2858" w:rsidRPr="00DB0FE2">
        <w:rPr>
          <w:i/>
        </w:rPr>
        <w:t>study</w:t>
      </w:r>
      <w:proofErr w:type="spellEnd"/>
      <w:r w:rsidR="008E2858" w:rsidRPr="00DB0FE2">
        <w:rPr>
          <w:i/>
        </w:rPr>
        <w:t xml:space="preserve"> </w:t>
      </w:r>
      <w:proofErr w:type="spellStart"/>
      <w:r w:rsidR="008E2858" w:rsidRPr="00DB0FE2">
        <w:rPr>
          <w:i/>
        </w:rPr>
        <w:t>finds</w:t>
      </w:r>
      <w:proofErr w:type="spellEnd"/>
      <w:r w:rsidR="008E2858" w:rsidRPr="00DB0FE2">
        <w:rPr>
          <w:i/>
        </w:rPr>
        <w:t xml:space="preserve"> </w:t>
      </w:r>
      <w:proofErr w:type="spellStart"/>
      <w:r w:rsidR="008E2858" w:rsidRPr="00DB0FE2">
        <w:rPr>
          <w:i/>
        </w:rPr>
        <w:t>that</w:t>
      </w:r>
      <w:proofErr w:type="spellEnd"/>
      <w:r w:rsidR="008E2858" w:rsidRPr="00DB0FE2">
        <w:rPr>
          <w:i/>
        </w:rPr>
        <w:t xml:space="preserve"> </w:t>
      </w:r>
      <w:proofErr w:type="spellStart"/>
      <w:r w:rsidR="008E2858" w:rsidRPr="00DB0FE2">
        <w:rPr>
          <w:i/>
        </w:rPr>
        <w:t>fewer</w:t>
      </w:r>
      <w:proofErr w:type="spellEnd"/>
      <w:r w:rsidR="008E2858" w:rsidRPr="00DB0FE2">
        <w:rPr>
          <w:i/>
        </w:rPr>
        <w:t xml:space="preserve"> </w:t>
      </w:r>
      <w:proofErr w:type="spellStart"/>
      <w:r w:rsidR="008E2858" w:rsidRPr="00DB0FE2">
        <w:rPr>
          <w:i/>
        </w:rPr>
        <w:t>companies</w:t>
      </w:r>
      <w:proofErr w:type="spellEnd"/>
      <w:r w:rsidR="008E2858" w:rsidRPr="00DB0FE2">
        <w:rPr>
          <w:i/>
        </w:rPr>
        <w:t xml:space="preserve"> (66%) </w:t>
      </w:r>
      <w:proofErr w:type="spellStart"/>
      <w:r w:rsidR="008E2858" w:rsidRPr="00DB0FE2">
        <w:rPr>
          <w:i/>
        </w:rPr>
        <w:t>disclose</w:t>
      </w:r>
      <w:proofErr w:type="spellEnd"/>
      <w:r w:rsidR="008E2858" w:rsidRPr="00DB0FE2">
        <w:rPr>
          <w:i/>
        </w:rPr>
        <w:t xml:space="preserve"> </w:t>
      </w:r>
      <w:proofErr w:type="spellStart"/>
      <w:r w:rsidR="008E2858" w:rsidRPr="00DB0FE2">
        <w:rPr>
          <w:i/>
        </w:rPr>
        <w:t>emissions</w:t>
      </w:r>
      <w:proofErr w:type="spellEnd"/>
      <w:r w:rsidR="008E2858" w:rsidRPr="00DB0FE2">
        <w:rPr>
          <w:i/>
        </w:rPr>
        <w:t xml:space="preserve"> </w:t>
      </w:r>
      <w:proofErr w:type="spellStart"/>
      <w:r w:rsidR="008E2858" w:rsidRPr="00DB0FE2">
        <w:rPr>
          <w:i/>
        </w:rPr>
        <w:t>reduction</w:t>
      </w:r>
      <w:proofErr w:type="spellEnd"/>
      <w:r w:rsidR="008E2858" w:rsidRPr="00DB0FE2">
        <w:rPr>
          <w:i/>
        </w:rPr>
        <w:t xml:space="preserve"> targets. And 90% </w:t>
      </w:r>
      <w:proofErr w:type="spellStart"/>
      <w:r w:rsidR="008E2858" w:rsidRPr="00DB0FE2">
        <w:rPr>
          <w:i/>
        </w:rPr>
        <w:t>of</w:t>
      </w:r>
      <w:proofErr w:type="spellEnd"/>
      <w:r w:rsidR="008E2858" w:rsidRPr="00DB0FE2">
        <w:rPr>
          <w:i/>
        </w:rPr>
        <w:t xml:space="preserve"> </w:t>
      </w:r>
      <w:proofErr w:type="spellStart"/>
      <w:r w:rsidR="008E2858" w:rsidRPr="00DB0FE2">
        <w:rPr>
          <w:i/>
        </w:rPr>
        <w:t>companies</w:t>
      </w:r>
      <w:proofErr w:type="spellEnd"/>
      <w:r w:rsidR="008E2858" w:rsidRPr="00DB0FE2">
        <w:rPr>
          <w:i/>
        </w:rPr>
        <w:t xml:space="preserve"> </w:t>
      </w:r>
      <w:proofErr w:type="spellStart"/>
      <w:r w:rsidR="008E2858" w:rsidRPr="00DB0FE2">
        <w:rPr>
          <w:i/>
        </w:rPr>
        <w:t>with</w:t>
      </w:r>
      <w:proofErr w:type="spellEnd"/>
      <w:r w:rsidR="008E2858" w:rsidRPr="00DB0FE2">
        <w:rPr>
          <w:i/>
        </w:rPr>
        <w:t xml:space="preserve"> </w:t>
      </w:r>
      <w:proofErr w:type="spellStart"/>
      <w:r w:rsidR="008E2858" w:rsidRPr="00DB0FE2">
        <w:rPr>
          <w:i/>
        </w:rPr>
        <w:t>an</w:t>
      </w:r>
      <w:proofErr w:type="spellEnd"/>
      <w:r w:rsidR="008E2858" w:rsidRPr="00DB0FE2">
        <w:rPr>
          <w:i/>
        </w:rPr>
        <w:t xml:space="preserve"> </w:t>
      </w:r>
      <w:proofErr w:type="spellStart"/>
      <w:r w:rsidR="008E2858" w:rsidRPr="00DB0FE2">
        <w:rPr>
          <w:i/>
        </w:rPr>
        <w:t>emissions</w:t>
      </w:r>
      <w:proofErr w:type="spellEnd"/>
      <w:r w:rsidR="008E2858" w:rsidRPr="00DB0FE2">
        <w:rPr>
          <w:i/>
        </w:rPr>
        <w:t xml:space="preserve"> target </w:t>
      </w:r>
      <w:proofErr w:type="spellStart"/>
      <w:r w:rsidR="008E2858" w:rsidRPr="00DB0FE2">
        <w:rPr>
          <w:i/>
        </w:rPr>
        <w:t>provide</w:t>
      </w:r>
      <w:proofErr w:type="spellEnd"/>
      <w:r w:rsidR="008E2858" w:rsidRPr="00DB0FE2">
        <w:rPr>
          <w:i/>
        </w:rPr>
        <w:t xml:space="preserve"> </w:t>
      </w:r>
      <w:proofErr w:type="spellStart"/>
      <w:r w:rsidR="008E2858" w:rsidRPr="00DB0FE2">
        <w:rPr>
          <w:i/>
        </w:rPr>
        <w:t>some</w:t>
      </w:r>
      <w:proofErr w:type="spellEnd"/>
      <w:r w:rsidR="008E2858" w:rsidRPr="00DB0FE2">
        <w:rPr>
          <w:i/>
        </w:rPr>
        <w:t xml:space="preserve"> </w:t>
      </w:r>
      <w:proofErr w:type="spellStart"/>
      <w:r w:rsidR="008E2858" w:rsidRPr="00DB0FE2">
        <w:rPr>
          <w:i/>
        </w:rPr>
        <w:t>information</w:t>
      </w:r>
      <w:proofErr w:type="spellEnd"/>
      <w:r w:rsidR="008E2858" w:rsidRPr="00DB0FE2">
        <w:rPr>
          <w:i/>
        </w:rPr>
        <w:t xml:space="preserve"> </w:t>
      </w:r>
      <w:proofErr w:type="spellStart"/>
      <w:r w:rsidR="008E2858" w:rsidRPr="00DB0FE2">
        <w:rPr>
          <w:i/>
        </w:rPr>
        <w:t>about</w:t>
      </w:r>
      <w:proofErr w:type="spellEnd"/>
      <w:r w:rsidR="008E2858" w:rsidRPr="00DB0FE2">
        <w:rPr>
          <w:i/>
        </w:rPr>
        <w:t xml:space="preserve"> </w:t>
      </w:r>
      <w:proofErr w:type="spellStart"/>
      <w:r w:rsidR="008E2858" w:rsidRPr="00DB0FE2">
        <w:rPr>
          <w:i/>
        </w:rPr>
        <w:t>how</w:t>
      </w:r>
      <w:proofErr w:type="spellEnd"/>
      <w:r w:rsidR="008E2858" w:rsidRPr="00DB0FE2">
        <w:rPr>
          <w:i/>
        </w:rPr>
        <w:t xml:space="preserve"> </w:t>
      </w:r>
      <w:proofErr w:type="spellStart"/>
      <w:r w:rsidR="008E2858" w:rsidRPr="00DB0FE2">
        <w:rPr>
          <w:i/>
        </w:rPr>
        <w:t>they</w:t>
      </w:r>
      <w:proofErr w:type="spellEnd"/>
      <w:r w:rsidR="008E2858" w:rsidRPr="00DB0FE2">
        <w:rPr>
          <w:i/>
        </w:rPr>
        <w:t xml:space="preserve"> plan </w:t>
      </w:r>
      <w:proofErr w:type="spellStart"/>
      <w:r w:rsidR="008E2858" w:rsidRPr="00DB0FE2">
        <w:rPr>
          <w:i/>
        </w:rPr>
        <w:t>to</w:t>
      </w:r>
      <w:proofErr w:type="spellEnd"/>
      <w:r w:rsidR="008E2858" w:rsidRPr="00DB0FE2">
        <w:rPr>
          <w:i/>
        </w:rPr>
        <w:t xml:space="preserve"> </w:t>
      </w:r>
      <w:proofErr w:type="spellStart"/>
      <w:r w:rsidR="008E2858" w:rsidRPr="00DB0FE2">
        <w:rPr>
          <w:i/>
        </w:rPr>
        <w:t>reach</w:t>
      </w:r>
      <w:proofErr w:type="spellEnd"/>
      <w:r w:rsidR="008E2858" w:rsidRPr="00DB0FE2">
        <w:rPr>
          <w:i/>
        </w:rPr>
        <w:t xml:space="preserve"> </w:t>
      </w:r>
      <w:proofErr w:type="spellStart"/>
      <w:r w:rsidR="008E2858" w:rsidRPr="00DB0FE2">
        <w:rPr>
          <w:i/>
        </w:rPr>
        <w:t>their</w:t>
      </w:r>
      <w:proofErr w:type="spellEnd"/>
      <w:r w:rsidR="008E2858" w:rsidRPr="00DB0FE2">
        <w:rPr>
          <w:i/>
        </w:rPr>
        <w:t xml:space="preserve"> target. ―</w:t>
      </w:r>
      <w:proofErr w:type="spellStart"/>
      <w:r w:rsidR="008E2858" w:rsidRPr="00DB0FE2">
        <w:rPr>
          <w:i/>
        </w:rPr>
        <w:t>However</w:t>
      </w:r>
      <w:proofErr w:type="spellEnd"/>
      <w:r w:rsidR="008E2858" w:rsidRPr="00DB0FE2">
        <w:rPr>
          <w:i/>
        </w:rPr>
        <w:t xml:space="preserve">, </w:t>
      </w:r>
      <w:proofErr w:type="spellStart"/>
      <w:r w:rsidR="008E2858" w:rsidRPr="00DB0FE2">
        <w:rPr>
          <w:i/>
        </w:rPr>
        <w:t>the</w:t>
      </w:r>
      <w:proofErr w:type="spellEnd"/>
      <w:r w:rsidR="008E2858" w:rsidRPr="00DB0FE2">
        <w:rPr>
          <w:i/>
        </w:rPr>
        <w:t xml:space="preserve"> </w:t>
      </w:r>
      <w:proofErr w:type="spellStart"/>
      <w:r w:rsidR="008E2858" w:rsidRPr="00DB0FE2">
        <w:rPr>
          <w:i/>
        </w:rPr>
        <w:t>nature</w:t>
      </w:r>
      <w:proofErr w:type="spellEnd"/>
      <w:r w:rsidR="008E2858" w:rsidRPr="00DB0FE2">
        <w:rPr>
          <w:i/>
        </w:rPr>
        <w:t xml:space="preserve"> and </w:t>
      </w:r>
      <w:proofErr w:type="spellStart"/>
      <w:r w:rsidR="008E2858" w:rsidRPr="00DB0FE2">
        <w:rPr>
          <w:i/>
        </w:rPr>
        <w:t>scope</w:t>
      </w:r>
      <w:proofErr w:type="spellEnd"/>
      <w:r w:rsidR="008E2858" w:rsidRPr="00DB0FE2">
        <w:rPr>
          <w:i/>
        </w:rPr>
        <w:t xml:space="preserve"> </w:t>
      </w:r>
      <w:proofErr w:type="spellStart"/>
      <w:r w:rsidR="008E2858" w:rsidRPr="00DB0FE2">
        <w:rPr>
          <w:i/>
        </w:rPr>
        <w:t>of</w:t>
      </w:r>
      <w:proofErr w:type="spellEnd"/>
      <w:r w:rsidR="008E2858" w:rsidRPr="00DB0FE2">
        <w:rPr>
          <w:i/>
        </w:rPr>
        <w:t xml:space="preserve"> </w:t>
      </w:r>
      <w:proofErr w:type="spellStart"/>
      <w:r w:rsidR="008E2858" w:rsidRPr="00DB0FE2">
        <w:rPr>
          <w:i/>
        </w:rPr>
        <w:t>these</w:t>
      </w:r>
      <w:proofErr w:type="spellEnd"/>
      <w:r w:rsidR="008E2858" w:rsidRPr="00DB0FE2">
        <w:rPr>
          <w:i/>
        </w:rPr>
        <w:t xml:space="preserve"> targets and </w:t>
      </w:r>
      <w:proofErr w:type="spellStart"/>
      <w:r w:rsidR="008E2858" w:rsidRPr="00DB0FE2">
        <w:rPr>
          <w:i/>
        </w:rPr>
        <w:t>plans</w:t>
      </w:r>
      <w:proofErr w:type="spellEnd"/>
      <w:r w:rsidR="008E2858" w:rsidRPr="00DB0FE2">
        <w:rPr>
          <w:i/>
        </w:rPr>
        <w:t xml:space="preserve">—in </w:t>
      </w:r>
      <w:proofErr w:type="spellStart"/>
      <w:r w:rsidR="008E2858" w:rsidRPr="00DB0FE2">
        <w:rPr>
          <w:i/>
        </w:rPr>
        <w:t>terms</w:t>
      </w:r>
      <w:proofErr w:type="spellEnd"/>
      <w:r w:rsidR="008E2858" w:rsidRPr="00DB0FE2">
        <w:rPr>
          <w:i/>
        </w:rPr>
        <w:t xml:space="preserve"> </w:t>
      </w:r>
      <w:proofErr w:type="spellStart"/>
      <w:r w:rsidR="008E2858" w:rsidRPr="00DB0FE2">
        <w:rPr>
          <w:i/>
        </w:rPr>
        <w:t>of</w:t>
      </w:r>
      <w:proofErr w:type="spellEnd"/>
      <w:r w:rsidR="008E2858" w:rsidRPr="00DB0FE2">
        <w:rPr>
          <w:i/>
        </w:rPr>
        <w:t xml:space="preserve"> </w:t>
      </w:r>
      <w:proofErr w:type="spellStart"/>
      <w:r w:rsidR="008E2858" w:rsidRPr="00DB0FE2">
        <w:rPr>
          <w:i/>
        </w:rPr>
        <w:t>emissions</w:t>
      </w:r>
      <w:proofErr w:type="spellEnd"/>
      <w:r w:rsidR="008E2858" w:rsidRPr="00DB0FE2">
        <w:rPr>
          <w:i/>
        </w:rPr>
        <w:t xml:space="preserve"> </w:t>
      </w:r>
      <w:proofErr w:type="spellStart"/>
      <w:r w:rsidR="008E2858" w:rsidRPr="00DB0FE2">
        <w:rPr>
          <w:i/>
        </w:rPr>
        <w:t>covered</w:t>
      </w:r>
      <w:proofErr w:type="spellEnd"/>
      <w:r w:rsidR="008E2858" w:rsidRPr="00DB0FE2">
        <w:rPr>
          <w:i/>
        </w:rPr>
        <w:t xml:space="preserve">, </w:t>
      </w:r>
      <w:proofErr w:type="spellStart"/>
      <w:r w:rsidR="008E2858" w:rsidRPr="00DB0FE2">
        <w:rPr>
          <w:i/>
        </w:rPr>
        <w:t>timeframes</w:t>
      </w:r>
      <w:proofErr w:type="spellEnd"/>
      <w:r w:rsidR="008E2858" w:rsidRPr="00DB0FE2">
        <w:rPr>
          <w:i/>
        </w:rPr>
        <w:t xml:space="preserve">, and use </w:t>
      </w:r>
      <w:proofErr w:type="spellStart"/>
      <w:r w:rsidR="008E2858" w:rsidRPr="00DB0FE2">
        <w:rPr>
          <w:i/>
        </w:rPr>
        <w:t>of</w:t>
      </w:r>
      <w:proofErr w:type="spellEnd"/>
      <w:r w:rsidR="008E2858" w:rsidRPr="00DB0FE2">
        <w:rPr>
          <w:i/>
        </w:rPr>
        <w:t xml:space="preserve"> </w:t>
      </w:r>
      <w:proofErr w:type="spellStart"/>
      <w:r w:rsidR="008E2858" w:rsidRPr="00DB0FE2">
        <w:rPr>
          <w:i/>
        </w:rPr>
        <w:t>carbon</w:t>
      </w:r>
      <w:proofErr w:type="spellEnd"/>
      <w:r w:rsidR="008E2858" w:rsidRPr="00DB0FE2">
        <w:rPr>
          <w:i/>
        </w:rPr>
        <w:t xml:space="preserve"> </w:t>
      </w:r>
      <w:proofErr w:type="spellStart"/>
      <w:r w:rsidR="008E2858" w:rsidRPr="00DB0FE2">
        <w:rPr>
          <w:i/>
        </w:rPr>
        <w:t>offsets</w:t>
      </w:r>
      <w:proofErr w:type="spellEnd"/>
      <w:r w:rsidR="008E2858" w:rsidRPr="00DB0FE2">
        <w:rPr>
          <w:i/>
        </w:rPr>
        <w:t>—</w:t>
      </w:r>
      <w:proofErr w:type="spellStart"/>
      <w:r w:rsidR="008E2858" w:rsidRPr="00DB0FE2">
        <w:rPr>
          <w:i/>
        </w:rPr>
        <w:t>vary</w:t>
      </w:r>
      <w:proofErr w:type="spellEnd"/>
      <w:r w:rsidR="008E2858" w:rsidRPr="00DB0FE2">
        <w:rPr>
          <w:i/>
        </w:rPr>
        <w:t xml:space="preserve"> </w:t>
      </w:r>
      <w:proofErr w:type="spellStart"/>
      <w:r w:rsidR="008E2858" w:rsidRPr="00DB0FE2">
        <w:rPr>
          <w:i/>
        </w:rPr>
        <w:t>widely</w:t>
      </w:r>
      <w:proofErr w:type="spellEnd"/>
      <w:r w:rsidR="008E2858" w:rsidRPr="00DB0FE2">
        <w:rPr>
          <w:i/>
        </w:rPr>
        <w:t xml:space="preserve">. </w:t>
      </w:r>
      <w:proofErr w:type="spellStart"/>
      <w:r w:rsidR="008E2858" w:rsidRPr="00DB0FE2">
        <w:rPr>
          <w:i/>
        </w:rPr>
        <w:t>Additionally</w:t>
      </w:r>
      <w:proofErr w:type="spellEnd"/>
      <w:r w:rsidR="008E2858" w:rsidRPr="00DB0FE2">
        <w:rPr>
          <w:i/>
        </w:rPr>
        <w:t xml:space="preserve">, </w:t>
      </w:r>
      <w:proofErr w:type="spellStart"/>
      <w:r w:rsidR="008E2858" w:rsidRPr="00DB0FE2">
        <w:rPr>
          <w:i/>
        </w:rPr>
        <w:t>only</w:t>
      </w:r>
      <w:proofErr w:type="spellEnd"/>
      <w:r w:rsidR="008E2858" w:rsidRPr="00DB0FE2">
        <w:rPr>
          <w:i/>
        </w:rPr>
        <w:t xml:space="preserve"> 24% </w:t>
      </w:r>
      <w:proofErr w:type="spellStart"/>
      <w:r w:rsidR="008E2858" w:rsidRPr="00DB0FE2">
        <w:rPr>
          <w:i/>
        </w:rPr>
        <w:t>of</w:t>
      </w:r>
      <w:proofErr w:type="spellEnd"/>
      <w:r w:rsidR="008E2858" w:rsidRPr="00DB0FE2">
        <w:rPr>
          <w:i/>
        </w:rPr>
        <w:t xml:space="preserve"> </w:t>
      </w:r>
      <w:proofErr w:type="spellStart"/>
      <w:r w:rsidR="008E2858" w:rsidRPr="00DB0FE2">
        <w:rPr>
          <w:i/>
        </w:rPr>
        <w:t>companies</w:t>
      </w:r>
      <w:proofErr w:type="spellEnd"/>
      <w:r w:rsidR="008E2858" w:rsidRPr="00DB0FE2">
        <w:rPr>
          <w:i/>
        </w:rPr>
        <w:t xml:space="preserve"> </w:t>
      </w:r>
      <w:proofErr w:type="spellStart"/>
      <w:r w:rsidR="008E2858" w:rsidRPr="00DB0FE2">
        <w:rPr>
          <w:i/>
        </w:rPr>
        <w:t>who</w:t>
      </w:r>
      <w:proofErr w:type="spellEnd"/>
      <w:r w:rsidR="008E2858" w:rsidRPr="00DB0FE2">
        <w:rPr>
          <w:i/>
        </w:rPr>
        <w:t xml:space="preserve"> </w:t>
      </w:r>
      <w:proofErr w:type="spellStart"/>
      <w:r w:rsidR="008E2858" w:rsidRPr="00DB0FE2">
        <w:rPr>
          <w:i/>
        </w:rPr>
        <w:t>report</w:t>
      </w:r>
      <w:proofErr w:type="spellEnd"/>
      <w:r w:rsidR="008E2858" w:rsidRPr="00DB0FE2">
        <w:rPr>
          <w:i/>
        </w:rPr>
        <w:t xml:space="preserve"> a target and a </w:t>
      </w:r>
      <w:proofErr w:type="spellStart"/>
      <w:r w:rsidR="008E2858" w:rsidRPr="00DB0FE2">
        <w:rPr>
          <w:i/>
        </w:rPr>
        <w:t>transition</w:t>
      </w:r>
      <w:proofErr w:type="spellEnd"/>
      <w:r w:rsidR="00DB0FE2" w:rsidRPr="00DB0FE2">
        <w:rPr>
          <w:i/>
        </w:rPr>
        <w:t xml:space="preserve"> </w:t>
      </w:r>
      <w:r w:rsidR="008E2858" w:rsidRPr="00DB0FE2">
        <w:rPr>
          <w:i/>
        </w:rPr>
        <w:t xml:space="preserve">plan </w:t>
      </w:r>
      <w:proofErr w:type="spellStart"/>
      <w:r w:rsidR="008E2858" w:rsidRPr="00DB0FE2">
        <w:rPr>
          <w:i/>
        </w:rPr>
        <w:t>also</w:t>
      </w:r>
      <w:proofErr w:type="spellEnd"/>
      <w:r w:rsidR="008E2858" w:rsidRPr="00DB0FE2">
        <w:rPr>
          <w:i/>
        </w:rPr>
        <w:t xml:space="preserve"> </w:t>
      </w:r>
      <w:proofErr w:type="spellStart"/>
      <w:r w:rsidR="008E2858" w:rsidRPr="00DB0FE2">
        <w:rPr>
          <w:i/>
        </w:rPr>
        <w:t>quantify</w:t>
      </w:r>
      <w:proofErr w:type="spellEnd"/>
      <w:r w:rsidR="008E2858" w:rsidRPr="00DB0FE2">
        <w:rPr>
          <w:i/>
        </w:rPr>
        <w:t xml:space="preserve"> </w:t>
      </w:r>
      <w:proofErr w:type="spellStart"/>
      <w:r w:rsidR="008E2858" w:rsidRPr="00DB0FE2">
        <w:rPr>
          <w:i/>
        </w:rPr>
        <w:t>the</w:t>
      </w:r>
      <w:proofErr w:type="spellEnd"/>
      <w:r w:rsidR="008E2858" w:rsidRPr="00DB0FE2">
        <w:rPr>
          <w:i/>
        </w:rPr>
        <w:t xml:space="preserve"> </w:t>
      </w:r>
      <w:proofErr w:type="spellStart"/>
      <w:r w:rsidR="008E2858" w:rsidRPr="00DB0FE2">
        <w:rPr>
          <w:i/>
        </w:rPr>
        <w:t>past</w:t>
      </w:r>
      <w:proofErr w:type="spellEnd"/>
      <w:r w:rsidR="008E2858" w:rsidRPr="00DB0FE2">
        <w:rPr>
          <w:i/>
        </w:rPr>
        <w:t xml:space="preserve"> </w:t>
      </w:r>
      <w:proofErr w:type="spellStart"/>
      <w:r w:rsidR="008E2858" w:rsidRPr="00DB0FE2">
        <w:rPr>
          <w:i/>
        </w:rPr>
        <w:t>or</w:t>
      </w:r>
      <w:proofErr w:type="spellEnd"/>
      <w:r w:rsidR="008E2858" w:rsidRPr="00DB0FE2">
        <w:rPr>
          <w:i/>
        </w:rPr>
        <w:t xml:space="preserve"> future </w:t>
      </w:r>
      <w:proofErr w:type="spellStart"/>
      <w:r w:rsidR="008E2858" w:rsidRPr="00DB0FE2">
        <w:rPr>
          <w:i/>
        </w:rPr>
        <w:t>expenditures</w:t>
      </w:r>
      <w:proofErr w:type="spellEnd"/>
      <w:r w:rsidR="008E2858" w:rsidRPr="00DB0FE2">
        <w:rPr>
          <w:i/>
        </w:rPr>
        <w:t xml:space="preserve"> </w:t>
      </w:r>
      <w:proofErr w:type="spellStart"/>
      <w:r w:rsidR="008E2858" w:rsidRPr="00DB0FE2">
        <w:rPr>
          <w:i/>
        </w:rPr>
        <w:t>associated</w:t>
      </w:r>
      <w:proofErr w:type="spellEnd"/>
      <w:r w:rsidR="008E2858" w:rsidRPr="00DB0FE2">
        <w:rPr>
          <w:i/>
        </w:rPr>
        <w:t xml:space="preserve"> </w:t>
      </w:r>
      <w:proofErr w:type="spellStart"/>
      <w:r w:rsidR="008E2858" w:rsidRPr="00DB0FE2">
        <w:rPr>
          <w:i/>
        </w:rPr>
        <w:t>with</w:t>
      </w:r>
      <w:proofErr w:type="spellEnd"/>
      <w:r w:rsidR="00DB0FE2" w:rsidRPr="00DB0FE2">
        <w:rPr>
          <w:i/>
        </w:rPr>
        <w:t xml:space="preserve"> </w:t>
      </w:r>
      <w:proofErr w:type="spellStart"/>
      <w:r w:rsidR="008E2858" w:rsidRPr="00DB0FE2">
        <w:rPr>
          <w:i/>
        </w:rPr>
        <w:t>implementing</w:t>
      </w:r>
      <w:proofErr w:type="spellEnd"/>
      <w:r w:rsidR="008E2858" w:rsidRPr="00DB0FE2">
        <w:rPr>
          <w:i/>
        </w:rPr>
        <w:t xml:space="preserve"> </w:t>
      </w:r>
      <w:proofErr w:type="spellStart"/>
      <w:r w:rsidR="008E2858" w:rsidRPr="00DB0FE2">
        <w:rPr>
          <w:i/>
        </w:rPr>
        <w:t>transition</w:t>
      </w:r>
      <w:proofErr w:type="spellEnd"/>
      <w:r w:rsidR="008E2858" w:rsidRPr="00DB0FE2">
        <w:rPr>
          <w:i/>
        </w:rPr>
        <w:t xml:space="preserve"> plan </w:t>
      </w:r>
      <w:proofErr w:type="spellStart"/>
      <w:r w:rsidR="008E2858" w:rsidRPr="00DB0FE2">
        <w:rPr>
          <w:i/>
        </w:rPr>
        <w:t>actions</w:t>
      </w:r>
      <w:proofErr w:type="spellEnd"/>
      <w:r w:rsidR="008E2858" w:rsidRPr="00DB0FE2">
        <w:rPr>
          <w:i/>
        </w:rPr>
        <w:t>.</w:t>
      </w:r>
      <w:r w:rsidR="00DB0FE2" w:rsidRPr="00DB0FE2">
        <w:rPr>
          <w:i/>
        </w:rPr>
        <w:t xml:space="preserve"> ―</w:t>
      </w:r>
      <w:proofErr w:type="spellStart"/>
      <w:r w:rsidR="008E2858" w:rsidRPr="00DB0FE2">
        <w:rPr>
          <w:i/>
        </w:rPr>
        <w:t>This</w:t>
      </w:r>
      <w:proofErr w:type="spellEnd"/>
      <w:r w:rsidR="008E2858" w:rsidRPr="00DB0FE2">
        <w:rPr>
          <w:i/>
        </w:rPr>
        <w:t xml:space="preserve"> </w:t>
      </w:r>
      <w:proofErr w:type="spellStart"/>
      <w:r w:rsidR="008E2858" w:rsidRPr="00DB0FE2">
        <w:rPr>
          <w:i/>
        </w:rPr>
        <w:t>lack</w:t>
      </w:r>
      <w:proofErr w:type="spellEnd"/>
      <w:r w:rsidR="008E2858" w:rsidRPr="00DB0FE2">
        <w:rPr>
          <w:i/>
        </w:rPr>
        <w:t xml:space="preserve"> </w:t>
      </w:r>
      <w:proofErr w:type="spellStart"/>
      <w:r w:rsidR="008E2858" w:rsidRPr="00DB0FE2">
        <w:rPr>
          <w:i/>
        </w:rPr>
        <w:t>of</w:t>
      </w:r>
      <w:proofErr w:type="spellEnd"/>
      <w:r w:rsidR="008E2858" w:rsidRPr="00DB0FE2">
        <w:rPr>
          <w:i/>
        </w:rPr>
        <w:t xml:space="preserve"> </w:t>
      </w:r>
      <w:proofErr w:type="spellStart"/>
      <w:r w:rsidR="008E2858" w:rsidRPr="00DB0FE2">
        <w:rPr>
          <w:i/>
        </w:rPr>
        <w:t>consistency</w:t>
      </w:r>
      <w:proofErr w:type="spellEnd"/>
      <w:r w:rsidR="008E2858" w:rsidRPr="00DB0FE2">
        <w:rPr>
          <w:i/>
        </w:rPr>
        <w:t xml:space="preserve"> and </w:t>
      </w:r>
      <w:proofErr w:type="spellStart"/>
      <w:r w:rsidR="008E2858" w:rsidRPr="00DB0FE2">
        <w:rPr>
          <w:i/>
        </w:rPr>
        <w:t>comparability</w:t>
      </w:r>
      <w:proofErr w:type="spellEnd"/>
      <w:r w:rsidR="008E2858" w:rsidRPr="00DB0FE2">
        <w:rPr>
          <w:i/>
        </w:rPr>
        <w:t xml:space="preserve"> </w:t>
      </w:r>
      <w:proofErr w:type="spellStart"/>
      <w:r w:rsidR="008E2858" w:rsidRPr="00DB0FE2">
        <w:rPr>
          <w:i/>
        </w:rPr>
        <w:t>may</w:t>
      </w:r>
      <w:proofErr w:type="spellEnd"/>
      <w:r w:rsidR="008E2858" w:rsidRPr="00DB0FE2">
        <w:rPr>
          <w:i/>
        </w:rPr>
        <w:t xml:space="preserve"> pose </w:t>
      </w:r>
      <w:proofErr w:type="spellStart"/>
      <w:r w:rsidR="008E2858" w:rsidRPr="00DB0FE2">
        <w:rPr>
          <w:i/>
        </w:rPr>
        <w:t>challenges</w:t>
      </w:r>
      <w:proofErr w:type="spellEnd"/>
      <w:r w:rsidR="008E2858" w:rsidRPr="00DB0FE2">
        <w:rPr>
          <w:i/>
        </w:rPr>
        <w:t xml:space="preserve"> </w:t>
      </w:r>
      <w:proofErr w:type="spellStart"/>
      <w:r w:rsidR="008E2858" w:rsidRPr="00DB0FE2">
        <w:rPr>
          <w:i/>
        </w:rPr>
        <w:t>for</w:t>
      </w:r>
      <w:proofErr w:type="spellEnd"/>
      <w:r w:rsidR="008E2858" w:rsidRPr="00DB0FE2">
        <w:rPr>
          <w:i/>
        </w:rPr>
        <w:t xml:space="preserve"> </w:t>
      </w:r>
      <w:proofErr w:type="spellStart"/>
      <w:r w:rsidR="008E2858" w:rsidRPr="00DB0FE2">
        <w:rPr>
          <w:i/>
        </w:rPr>
        <w:t>investors</w:t>
      </w:r>
      <w:proofErr w:type="spellEnd"/>
      <w:r w:rsidR="008E2858" w:rsidRPr="00DB0FE2">
        <w:rPr>
          <w:i/>
        </w:rPr>
        <w:t>,</w:t>
      </w:r>
      <w:r w:rsidR="00DB0FE2" w:rsidRPr="00DB0FE2">
        <w:rPr>
          <w:i/>
        </w:rPr>
        <w:t xml:space="preserve"> </w:t>
      </w:r>
      <w:proofErr w:type="spellStart"/>
      <w:r w:rsidR="008E2858" w:rsidRPr="00DB0FE2">
        <w:rPr>
          <w:i/>
        </w:rPr>
        <w:t>regulators</w:t>
      </w:r>
      <w:proofErr w:type="spellEnd"/>
      <w:r w:rsidR="008E2858" w:rsidRPr="00DB0FE2">
        <w:rPr>
          <w:i/>
        </w:rPr>
        <w:t xml:space="preserve">, and </w:t>
      </w:r>
      <w:proofErr w:type="spellStart"/>
      <w:r w:rsidR="008E2858" w:rsidRPr="00DB0FE2">
        <w:rPr>
          <w:i/>
        </w:rPr>
        <w:t>other</w:t>
      </w:r>
      <w:proofErr w:type="spellEnd"/>
      <w:r w:rsidR="008E2858" w:rsidRPr="00DB0FE2">
        <w:rPr>
          <w:i/>
        </w:rPr>
        <w:t xml:space="preserve"> </w:t>
      </w:r>
      <w:proofErr w:type="spellStart"/>
      <w:r w:rsidR="008E2858" w:rsidRPr="00DB0FE2">
        <w:rPr>
          <w:i/>
        </w:rPr>
        <w:t>stakeholders</w:t>
      </w:r>
      <w:proofErr w:type="spellEnd"/>
      <w:r w:rsidR="008E2858" w:rsidRPr="00DB0FE2">
        <w:rPr>
          <w:i/>
        </w:rPr>
        <w:t xml:space="preserve"> </w:t>
      </w:r>
      <w:proofErr w:type="spellStart"/>
      <w:r w:rsidR="008E2858" w:rsidRPr="00DB0FE2">
        <w:rPr>
          <w:i/>
        </w:rPr>
        <w:t>who</w:t>
      </w:r>
      <w:proofErr w:type="spellEnd"/>
      <w:r w:rsidR="008E2858" w:rsidRPr="00DB0FE2">
        <w:rPr>
          <w:i/>
        </w:rPr>
        <w:t xml:space="preserve"> </w:t>
      </w:r>
      <w:proofErr w:type="spellStart"/>
      <w:r w:rsidR="008E2858" w:rsidRPr="00DB0FE2">
        <w:rPr>
          <w:i/>
        </w:rPr>
        <w:t>require</w:t>
      </w:r>
      <w:proofErr w:type="spellEnd"/>
      <w:r w:rsidR="008E2858" w:rsidRPr="00DB0FE2">
        <w:rPr>
          <w:i/>
        </w:rPr>
        <w:t xml:space="preserve"> </w:t>
      </w:r>
      <w:proofErr w:type="spellStart"/>
      <w:r w:rsidR="008E2858" w:rsidRPr="00DB0FE2">
        <w:rPr>
          <w:i/>
        </w:rPr>
        <w:t>decision-useful</w:t>
      </w:r>
      <w:proofErr w:type="spellEnd"/>
      <w:r w:rsidR="008E2858" w:rsidRPr="00DB0FE2">
        <w:rPr>
          <w:i/>
        </w:rPr>
        <w:t xml:space="preserve"> </w:t>
      </w:r>
      <w:proofErr w:type="spellStart"/>
      <w:r w:rsidR="008E2858" w:rsidRPr="00DB0FE2">
        <w:rPr>
          <w:i/>
        </w:rPr>
        <w:t>information</w:t>
      </w:r>
      <w:proofErr w:type="spellEnd"/>
      <w:r w:rsidR="008E2858" w:rsidRPr="00DB0FE2">
        <w:rPr>
          <w:i/>
        </w:rPr>
        <w:t>.</w:t>
      </w:r>
      <w:r w:rsidR="00DB0FE2">
        <w:t xml:space="preserve">” La creación de un estándar es lenta. Empieza por identificar necesidades comunes. Estas se describen por sus finalidades. Posteriormente se investiga la literatura precedente para ubicar los pronunciamientos que gocen de autoridad. Estos se resumen y se someten a estudio, dando lugar a descartar algunos y a considerar que otros necesitan ser perfeccionados. Sobre estas bases se suele preparar por el personal de planta un informe, que muchas veces es ampliamente difundido y que suele ser objeto de </w:t>
      </w:r>
      <w:r w:rsidR="00DB0FE2">
        <w:t>comentarios. Analizados estos se decide desarrollar un enfoque, lo que es tarea del personal de planta. El borrador se somete a consideración de los miembros de la junta emisora hasta que a estos les parece adecuado, dando paso a una consulta pública, generalmente mediante unas preguntas específicas y observaciones hechas con mayor libertad por los participantes. Los comentarios del público pueden mostrarse en contra o a favor del borrador. Si están en contra se retrocede y se prepara otro. Si están a favor se analizan los ajustes solicitados y se pregunta a los emisores cuáles y cómo los acogen. De esta manera se llega a un texto final que es sometido formalmente a la aprobación de los emisores. Si la votación no es unánime, los disidentes pueden reseñar sus pareceres para que se divulguen junto con la nueva declaración. Tiempo después se hacen encuestas e inspecciones para establecer cómo el estándar se está</w:t>
      </w:r>
      <w:r w:rsidR="009E443F">
        <w:t xml:space="preserve"> </w:t>
      </w:r>
      <w:r w:rsidR="00DB0FE2">
        <w:t>aplicando y qué mejores convendría hacerle</w:t>
      </w:r>
      <w:r w:rsidR="009E443F">
        <w:t>, dando lugar a un nuevo proyecto de actualización, que puede ser de pequeña o gran envergadura. Este es un proceso que puede durar hasta 5 años. No hay prisa sino la racional búsqueda de un consenso. Exactamente este proceso es el que estamos observando en materia de revelaciones sobre la sostenibilidad, empezando por los asuntos climáticos, que en ciertas jurisdicciones vienen siendo objeto de tratamiento. Como es de esperar en un principio hay mucha diversidad y es necesario procurar aumentar la comparabilidad. Si la academia recorre todo este camino ciertamente logra dominio.</w:t>
      </w:r>
    </w:p>
    <w:p w14:paraId="2FCB748C" w14:textId="2E4A1429" w:rsidR="009E443F" w:rsidRPr="00343ED3" w:rsidRDefault="009E443F" w:rsidP="009E443F">
      <w:pPr>
        <w:jc w:val="right"/>
      </w:pPr>
      <w:r w:rsidRPr="00844BFA">
        <w:rPr>
          <w:i/>
        </w:rPr>
        <w:t>Hernando Bermúdez Gómez</w:t>
      </w:r>
    </w:p>
    <w:sectPr w:rsidR="009E443F" w:rsidRPr="00343ED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818C" w14:textId="77777777" w:rsidR="00827328" w:rsidRDefault="00827328" w:rsidP="00EE7812">
      <w:pPr>
        <w:spacing w:after="0" w:line="240" w:lineRule="auto"/>
      </w:pPr>
      <w:r>
        <w:separator/>
      </w:r>
    </w:p>
  </w:endnote>
  <w:endnote w:type="continuationSeparator" w:id="0">
    <w:p w14:paraId="6F492DD1" w14:textId="77777777" w:rsidR="00827328" w:rsidRDefault="008273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2E35" w14:textId="77777777" w:rsidR="00827328" w:rsidRDefault="00827328" w:rsidP="00EE7812">
      <w:pPr>
        <w:spacing w:after="0" w:line="240" w:lineRule="auto"/>
      </w:pPr>
      <w:r>
        <w:separator/>
      </w:r>
    </w:p>
  </w:footnote>
  <w:footnote w:type="continuationSeparator" w:id="0">
    <w:p w14:paraId="60756FBD" w14:textId="77777777" w:rsidR="00827328" w:rsidRDefault="008273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CCA4C83"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06B79">
      <w:t>1</w:t>
    </w:r>
    <w:r w:rsidR="00DE4D61">
      <w:t>7</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82732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3084525">
    <w:abstractNumId w:val="0"/>
  </w:num>
  <w:num w:numId="2" w16cid:durableId="4327488">
    <w:abstractNumId w:val="20"/>
  </w:num>
  <w:num w:numId="3" w16cid:durableId="509292126">
    <w:abstractNumId w:val="15"/>
  </w:num>
  <w:num w:numId="4" w16cid:durableId="301229240">
    <w:abstractNumId w:val="2"/>
  </w:num>
  <w:num w:numId="5" w16cid:durableId="2069299542">
    <w:abstractNumId w:val="19"/>
  </w:num>
  <w:num w:numId="6" w16cid:durableId="1089160185">
    <w:abstractNumId w:val="34"/>
  </w:num>
  <w:num w:numId="7" w16cid:durableId="865993760">
    <w:abstractNumId w:val="13"/>
  </w:num>
  <w:num w:numId="8" w16cid:durableId="677076767">
    <w:abstractNumId w:val="32"/>
  </w:num>
  <w:num w:numId="9" w16cid:durableId="488910542">
    <w:abstractNumId w:val="37"/>
  </w:num>
  <w:num w:numId="10" w16cid:durableId="161090471">
    <w:abstractNumId w:val="4"/>
  </w:num>
  <w:num w:numId="11" w16cid:durableId="1605456183">
    <w:abstractNumId w:val="6"/>
  </w:num>
  <w:num w:numId="12" w16cid:durableId="156313231">
    <w:abstractNumId w:val="18"/>
  </w:num>
  <w:num w:numId="13" w16cid:durableId="596257778">
    <w:abstractNumId w:val="21"/>
  </w:num>
  <w:num w:numId="14" w16cid:durableId="793525789">
    <w:abstractNumId w:val="31"/>
  </w:num>
  <w:num w:numId="15" w16cid:durableId="252982478">
    <w:abstractNumId w:val="9"/>
  </w:num>
  <w:num w:numId="16" w16cid:durableId="13267892">
    <w:abstractNumId w:val="7"/>
  </w:num>
  <w:num w:numId="17" w16cid:durableId="683945280">
    <w:abstractNumId w:val="16"/>
  </w:num>
  <w:num w:numId="18" w16cid:durableId="1985815114">
    <w:abstractNumId w:val="30"/>
  </w:num>
  <w:num w:numId="19" w16cid:durableId="933168512">
    <w:abstractNumId w:val="25"/>
  </w:num>
  <w:num w:numId="20" w16cid:durableId="1946451560">
    <w:abstractNumId w:val="8"/>
  </w:num>
  <w:num w:numId="21" w16cid:durableId="698316849">
    <w:abstractNumId w:val="26"/>
  </w:num>
  <w:num w:numId="22" w16cid:durableId="1851135720">
    <w:abstractNumId w:val="27"/>
  </w:num>
  <w:num w:numId="23" w16cid:durableId="1974675144">
    <w:abstractNumId w:val="28"/>
  </w:num>
  <w:num w:numId="24" w16cid:durableId="2018995972">
    <w:abstractNumId w:val="33"/>
  </w:num>
  <w:num w:numId="25" w16cid:durableId="1517232394">
    <w:abstractNumId w:val="22"/>
  </w:num>
  <w:num w:numId="26" w16cid:durableId="1945769473">
    <w:abstractNumId w:val="14"/>
  </w:num>
  <w:num w:numId="27" w16cid:durableId="931862851">
    <w:abstractNumId w:val="5"/>
  </w:num>
  <w:num w:numId="28" w16cid:durableId="1561014215">
    <w:abstractNumId w:val="23"/>
  </w:num>
  <w:num w:numId="29" w16cid:durableId="511798773">
    <w:abstractNumId w:val="1"/>
  </w:num>
  <w:num w:numId="30" w16cid:durableId="239681003">
    <w:abstractNumId w:val="24"/>
  </w:num>
  <w:num w:numId="31" w16cid:durableId="790133131">
    <w:abstractNumId w:val="29"/>
  </w:num>
  <w:num w:numId="32" w16cid:durableId="233471333">
    <w:abstractNumId w:val="12"/>
  </w:num>
  <w:num w:numId="33" w16cid:durableId="924605469">
    <w:abstractNumId w:val="17"/>
  </w:num>
  <w:num w:numId="34" w16cid:durableId="599487205">
    <w:abstractNumId w:val="3"/>
  </w:num>
  <w:num w:numId="35" w16cid:durableId="1197235826">
    <w:abstractNumId w:val="35"/>
  </w:num>
  <w:num w:numId="36" w16cid:durableId="539823445">
    <w:abstractNumId w:val="10"/>
  </w:num>
  <w:num w:numId="37" w16cid:durableId="1431387473">
    <w:abstractNumId w:val="11"/>
  </w:num>
  <w:num w:numId="38" w16cid:durableId="140884309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61"/>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28"/>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56"/>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FAC-Getting-to-Net-Zero-corporate-emissions-disclosur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3FD6-2C4E-4E2B-AF42-1334A348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2022-11-25T20:20:00Z</dcterms:created>
  <dcterms:modified xsi:type="dcterms:W3CDTF">2022-11-25T20:20:00Z</dcterms:modified>
</cp:coreProperties>
</file>