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518587" w14:textId="7D4FBA86" w:rsidR="00FF41E7" w:rsidRPr="00FF41E7" w:rsidRDefault="00FF41E7" w:rsidP="00FF41E7">
      <w:pPr>
        <w:keepNext/>
        <w:framePr w:dropCap="drop" w:lines="3" w:wrap="around" w:vAnchor="text" w:hAnchor="text"/>
        <w:spacing w:after="0" w:line="926" w:lineRule="exact"/>
        <w:textAlignment w:val="baseline"/>
        <w:rPr>
          <w:position w:val="-9"/>
          <w:sz w:val="123"/>
        </w:rPr>
      </w:pPr>
      <w:r w:rsidRPr="00FF41E7">
        <w:rPr>
          <w:position w:val="-9"/>
          <w:sz w:val="123"/>
        </w:rPr>
        <w:t>E</w:t>
      </w:r>
    </w:p>
    <w:p w14:paraId="42D97FCE" w14:textId="54AFF5ED" w:rsidR="00E81119" w:rsidRDefault="00FF41E7" w:rsidP="00A90B57">
      <w:r w:rsidRPr="00FF41E7">
        <w:rPr>
          <w:lang w:val="en-US"/>
        </w:rPr>
        <w:t xml:space="preserve">n el </w:t>
      </w:r>
      <w:proofErr w:type="spellStart"/>
      <w:r w:rsidRPr="00FF41E7">
        <w:rPr>
          <w:lang w:val="en-US"/>
        </w:rPr>
        <w:t>artículo</w:t>
      </w:r>
      <w:proofErr w:type="spellEnd"/>
      <w:r w:rsidRPr="00FF41E7">
        <w:rPr>
          <w:lang w:val="en-US"/>
        </w:rPr>
        <w:t xml:space="preserve"> </w:t>
      </w:r>
      <w:r w:rsidRPr="00FF41E7">
        <w:rPr>
          <w:i/>
          <w:iCs/>
          <w:lang w:val="en-US"/>
        </w:rPr>
        <w:t>Elevating Financial Reporting Beyond a Mere Compliance Instrument</w:t>
      </w:r>
      <w:r w:rsidRPr="00FF41E7">
        <w:rPr>
          <w:lang w:val="en-US"/>
        </w:rPr>
        <w:t xml:space="preserve">, </w:t>
      </w:r>
      <w:proofErr w:type="spellStart"/>
      <w:r w:rsidRPr="00FF41E7">
        <w:rPr>
          <w:lang w:val="en-US"/>
        </w:rPr>
        <w:t>escrito</w:t>
      </w:r>
      <w:proofErr w:type="spellEnd"/>
      <w:r w:rsidRPr="00FF41E7">
        <w:rPr>
          <w:lang w:val="en-US"/>
        </w:rPr>
        <w:t xml:space="preserve"> </w:t>
      </w:r>
      <w:proofErr w:type="spellStart"/>
      <w:r w:rsidRPr="00FF41E7">
        <w:rPr>
          <w:lang w:val="en-US"/>
        </w:rPr>
        <w:t>por</w:t>
      </w:r>
      <w:proofErr w:type="spellEnd"/>
      <w:r w:rsidRPr="00FF41E7">
        <w:rPr>
          <w:lang w:val="en-US"/>
        </w:rPr>
        <w:t xml:space="preserve"> </w:t>
      </w:r>
      <w:proofErr w:type="spellStart"/>
      <w:r w:rsidRPr="00FF41E7">
        <w:rPr>
          <w:lang w:val="en-US"/>
        </w:rPr>
        <w:t>Smieliauskas</w:t>
      </w:r>
      <w:proofErr w:type="spellEnd"/>
      <w:r w:rsidRPr="00FF41E7">
        <w:rPr>
          <w:lang w:val="en-US"/>
        </w:rPr>
        <w:t xml:space="preserve">, WALLY, Craig, RUSSELL, </w:t>
      </w:r>
      <w:proofErr w:type="spellStart"/>
      <w:r w:rsidRPr="00FF41E7">
        <w:rPr>
          <w:lang w:val="en-US"/>
        </w:rPr>
        <w:t>Amernic</w:t>
      </w:r>
      <w:proofErr w:type="spellEnd"/>
      <w:r w:rsidRPr="00FF41E7">
        <w:rPr>
          <w:lang w:val="en-US"/>
        </w:rPr>
        <w:t xml:space="preserve">, JOEL, </w:t>
      </w:r>
      <w:proofErr w:type="spellStart"/>
      <w:r w:rsidRPr="00FF41E7">
        <w:rPr>
          <w:lang w:val="en-US"/>
        </w:rPr>
        <w:t>publicado</w:t>
      </w:r>
      <w:proofErr w:type="spellEnd"/>
      <w:r w:rsidRPr="00FF41E7">
        <w:rPr>
          <w:lang w:val="en-US"/>
        </w:rPr>
        <w:t xml:space="preserve"> </w:t>
      </w:r>
      <w:proofErr w:type="spellStart"/>
      <w:r w:rsidRPr="00FF41E7">
        <w:rPr>
          <w:lang w:val="en-US"/>
        </w:rPr>
        <w:t>por</w:t>
      </w:r>
      <w:proofErr w:type="spellEnd"/>
      <w:r w:rsidRPr="00FF41E7">
        <w:rPr>
          <w:lang w:val="en-US"/>
        </w:rPr>
        <w:t xml:space="preserve"> </w:t>
      </w:r>
      <w:r w:rsidRPr="00FF41E7">
        <w:rPr>
          <w:i/>
          <w:iCs/>
          <w:lang w:val="en-US"/>
        </w:rPr>
        <w:t>Accounting Perspectives</w:t>
      </w:r>
      <w:r w:rsidRPr="00FF41E7">
        <w:rPr>
          <w:lang w:val="en-US"/>
        </w:rPr>
        <w:t xml:space="preserve">, 1911382X, Mar2022, Vol. 21, </w:t>
      </w:r>
      <w:proofErr w:type="spellStart"/>
      <w:r w:rsidRPr="00FF41E7">
        <w:rPr>
          <w:lang w:val="en-US"/>
        </w:rPr>
        <w:t>Fascículo</w:t>
      </w:r>
      <w:proofErr w:type="spellEnd"/>
      <w:r w:rsidRPr="00FF41E7">
        <w:rPr>
          <w:lang w:val="en-US"/>
        </w:rPr>
        <w:t xml:space="preserve"> 1, se </w:t>
      </w:r>
      <w:proofErr w:type="spellStart"/>
      <w:r w:rsidRPr="00FF41E7">
        <w:rPr>
          <w:lang w:val="en-US"/>
        </w:rPr>
        <w:t>encuentra</w:t>
      </w:r>
      <w:proofErr w:type="spellEnd"/>
      <w:r w:rsidRPr="00FF41E7">
        <w:rPr>
          <w:lang w:val="en-US"/>
        </w:rPr>
        <w:t xml:space="preserve"> el </w:t>
      </w:r>
      <w:proofErr w:type="spellStart"/>
      <w:r w:rsidRPr="00FF41E7">
        <w:rPr>
          <w:lang w:val="en-US"/>
        </w:rPr>
        <w:t>siguiente</w:t>
      </w:r>
      <w:proofErr w:type="spellEnd"/>
      <w:r w:rsidRPr="00FF41E7">
        <w:rPr>
          <w:lang w:val="en-US"/>
        </w:rPr>
        <w:t xml:space="preserve"> </w:t>
      </w:r>
      <w:proofErr w:type="spellStart"/>
      <w:r w:rsidRPr="00FF41E7">
        <w:rPr>
          <w:lang w:val="en-US"/>
        </w:rPr>
        <w:t>resumen</w:t>
      </w:r>
      <w:proofErr w:type="spellEnd"/>
      <w:r w:rsidRPr="00FF41E7">
        <w:rPr>
          <w:lang w:val="en-US"/>
        </w:rPr>
        <w:t>: “</w:t>
      </w:r>
      <w:r w:rsidRPr="00CB2DC8">
        <w:rPr>
          <w:i/>
          <w:iCs/>
          <w:lang w:val="en-US"/>
        </w:rPr>
        <w:t xml:space="preserve">We highlight how complying with detailed professional accounting rules can lead to lies and undermine the overall objectives of financial reporting. We do so by conducting a retrospective analysis (using the argumentation concepts of premise, qualifier, data, and conclusions) of the reasoning of the two expert accounting witnesses in the criminal trial in 2006 of Enron's president (Lay) and CEO (Skilling). We make two recommendations that are intended to elevate financial reporting beyond a mere compliance instrument and to help it conform better with the idea of fair presentation. First, we call for the objectives of financial reporting to be installed as the overarching premise in a conceptual framework (CF) for GAAP‐based financial reporting. The remainder of the CF should provide essential guidance to meet those objectives. Second, we recommend that the needs of users of financial reports should be prioritized by developing ethical forecasting principles and better ways of assessing and reporting the accounting estimation uncertainties that are identified in the IASB's (2018) revised CF. We contend that a CF with the more detailed standards should guide professional judgment on the concept of accounting risk and provide guidance on an acceptable level of this risk for various line items on the financial statements. Ideally, accounting risk should be less than 0.50 so </w:t>
      </w:r>
      <w:r w:rsidRPr="00CB2DC8">
        <w:rPr>
          <w:i/>
          <w:iCs/>
          <w:lang w:val="en-US"/>
        </w:rPr>
        <w:t>that the probability that the reported number is materially accurate is at least 0.50. This requirement is necessary for the various types of accounting estimates to be sufficiently truthful for ethical financial reporting. This will render GAAP and financial reporting more reliant on cogent reasoning and argumentation</w:t>
      </w:r>
      <w:r w:rsidRPr="00FF41E7">
        <w:rPr>
          <w:lang w:val="en-US"/>
        </w:rPr>
        <w:t>.</w:t>
      </w:r>
      <w:r>
        <w:rPr>
          <w:lang w:val="en-US"/>
        </w:rPr>
        <w:t>”</w:t>
      </w:r>
      <w:r w:rsidR="00CB2DC8">
        <w:rPr>
          <w:lang w:val="en-US"/>
        </w:rPr>
        <w:t xml:space="preserve"> </w:t>
      </w:r>
      <w:r w:rsidR="00CB2DC8" w:rsidRPr="00CB2DC8">
        <w:t>Este artículo se basa en el análisis concreto de los l</w:t>
      </w:r>
      <w:r w:rsidR="00CB2DC8">
        <w:t xml:space="preserve">itigios trabajos con ocasión del escándalo de Enron. Hubo acciones del Fiscal y de los demandados. Curiosamente ambas partes eludieron las cuestiones contables. Los autores concluyen que todas las normas incluidas en una base tienen que someterse a los postulados, principios, conceptos y limitaciones explicados en su marco conceptual. La afirmación inicial según la cual el cumplimiento permite mentir es uno de los argumentos fundamentales para sostener que las contabilidades basadas en principios son mejores. En este orden de ideas, la legislación colombiana, a partir del derecho constitucional a recibir información veraz </w:t>
      </w:r>
      <w:r w:rsidR="005B6244">
        <w:t xml:space="preserve">e imparcial, entroniza el principio de realidad económica o sustancia al cual deben necesariamente responder todos los informes contables del país, no siendo posible alegar que se dio cumplimiento a las normas. En la medida en la cual los funcionarios, administrativos </w:t>
      </w:r>
      <w:r w:rsidR="00364C9A">
        <w:t>y judiciales, y muchos contadores, posicionan el cumplimiento como el objetivo principal de la contaduría pública, sencillamente están facilitando que la forma, es decir, las normas, primen sobre los principios. Esta situación requiere de un conocimiento profundo por parte de los profesionales de la contabilidad.</w:t>
      </w:r>
    </w:p>
    <w:p w14:paraId="7D7A75C9" w14:textId="07D0789E" w:rsidR="00364C9A" w:rsidRPr="00CB2DC8" w:rsidRDefault="00364C9A" w:rsidP="00364C9A">
      <w:pPr>
        <w:jc w:val="right"/>
      </w:pPr>
      <w:r w:rsidRPr="003C4ED4">
        <w:rPr>
          <w:i/>
          <w:iCs/>
        </w:rPr>
        <w:t>Hernando Bermúdez Gómez</w:t>
      </w:r>
    </w:p>
    <w:sectPr w:rsidR="00364C9A" w:rsidRPr="00CB2DC8"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A24A8A" w14:textId="77777777" w:rsidR="004C59EF" w:rsidRDefault="004C59EF" w:rsidP="00EE7812">
      <w:pPr>
        <w:spacing w:after="0" w:line="240" w:lineRule="auto"/>
      </w:pPr>
      <w:r>
        <w:separator/>
      </w:r>
    </w:p>
  </w:endnote>
  <w:endnote w:type="continuationSeparator" w:id="0">
    <w:p w14:paraId="2601E9E7" w14:textId="77777777" w:rsidR="004C59EF" w:rsidRDefault="004C59E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45FB9C0B"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r w:rsidR="00AE081F">
      <w:t xml:space="preserve"> </w:t>
    </w:r>
    <w:r w:rsidR="00994BD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B9F57F" w14:textId="77777777" w:rsidR="004C59EF" w:rsidRDefault="004C59EF" w:rsidP="00EE7812">
      <w:pPr>
        <w:spacing w:after="0" w:line="240" w:lineRule="auto"/>
      </w:pPr>
      <w:r>
        <w:separator/>
      </w:r>
    </w:p>
  </w:footnote>
  <w:footnote w:type="continuationSeparator" w:id="0">
    <w:p w14:paraId="3884E652" w14:textId="77777777" w:rsidR="004C59EF" w:rsidRDefault="004C59E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12613" w14:textId="77777777" w:rsidR="00994BDB"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0EB3E48B" w14:textId="77777777" w:rsidR="00994BDB"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54525EF7" w14:textId="6A4BC4A1" w:rsidR="00684621" w:rsidRDefault="0000261B" w:rsidP="00613BC8">
    <w:pPr>
      <w:pStyle w:val="Header"/>
      <w:tabs>
        <w:tab w:val="left" w:pos="2580"/>
        <w:tab w:val="left" w:pos="2985"/>
      </w:tabs>
      <w:spacing w:line="276" w:lineRule="auto"/>
      <w:jc w:val="right"/>
    </w:pPr>
    <w:r>
      <w:t>Número</w:t>
    </w:r>
    <w:r w:rsidR="00AD1603">
      <w:t xml:space="preserve"> </w:t>
    </w:r>
    <w:r w:rsidR="00737707">
      <w:t>7</w:t>
    </w:r>
    <w:r w:rsidR="00D774E4">
      <w:t>0</w:t>
    </w:r>
    <w:r w:rsidR="00283385">
      <w:t>4</w:t>
    </w:r>
    <w:r w:rsidR="005B2DB0">
      <w:t>6</w:t>
    </w:r>
    <w:r>
      <w:t>,</w:t>
    </w:r>
    <w:r w:rsidR="00AD1603">
      <w:t xml:space="preserve"> </w:t>
    </w:r>
    <w:r w:rsidR="005B2DB0">
      <w:t>12</w:t>
    </w:r>
    <w:r w:rsidR="009365CF">
      <w:t xml:space="preserve"> de </w:t>
    </w:r>
    <w:r w:rsidR="002A232F">
      <w:t>diciembre</w:t>
    </w:r>
    <w:r w:rsidR="00AD1603">
      <w:t xml:space="preserve"> </w:t>
    </w:r>
    <w:r>
      <w:t>de</w:t>
    </w:r>
    <w:r w:rsidR="00AD1603">
      <w:t xml:space="preserve"> </w:t>
    </w:r>
    <w:r>
      <w:t>202</w:t>
    </w:r>
    <w:r w:rsidR="00792932">
      <w:t>2</w:t>
    </w:r>
    <w:r w:rsidR="004C59EF">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p w14:paraId="07EF234E" w14:textId="77777777" w:rsidR="00994BDB" w:rsidRDefault="00994BDB"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04028852">
    <w:abstractNumId w:val="0"/>
  </w:num>
  <w:num w:numId="2" w16cid:durableId="1395930319">
    <w:abstractNumId w:val="20"/>
  </w:num>
  <w:num w:numId="3" w16cid:durableId="1105227331">
    <w:abstractNumId w:val="15"/>
  </w:num>
  <w:num w:numId="4" w16cid:durableId="433019039">
    <w:abstractNumId w:val="2"/>
  </w:num>
  <w:num w:numId="5" w16cid:durableId="1624727467">
    <w:abstractNumId w:val="19"/>
  </w:num>
  <w:num w:numId="6" w16cid:durableId="754060297">
    <w:abstractNumId w:val="34"/>
  </w:num>
  <w:num w:numId="7" w16cid:durableId="1187254234">
    <w:abstractNumId w:val="13"/>
  </w:num>
  <w:num w:numId="8" w16cid:durableId="263196633">
    <w:abstractNumId w:val="32"/>
  </w:num>
  <w:num w:numId="9" w16cid:durableId="1097561931">
    <w:abstractNumId w:val="37"/>
  </w:num>
  <w:num w:numId="10" w16cid:durableId="296423567">
    <w:abstractNumId w:val="4"/>
  </w:num>
  <w:num w:numId="11" w16cid:durableId="667487397">
    <w:abstractNumId w:val="6"/>
  </w:num>
  <w:num w:numId="12" w16cid:durableId="891694119">
    <w:abstractNumId w:val="18"/>
  </w:num>
  <w:num w:numId="13" w16cid:durableId="313067969">
    <w:abstractNumId w:val="21"/>
  </w:num>
  <w:num w:numId="14" w16cid:durableId="1346901502">
    <w:abstractNumId w:val="31"/>
  </w:num>
  <w:num w:numId="15" w16cid:durableId="808589306">
    <w:abstractNumId w:val="9"/>
  </w:num>
  <w:num w:numId="16" w16cid:durableId="803811569">
    <w:abstractNumId w:val="7"/>
  </w:num>
  <w:num w:numId="17" w16cid:durableId="1334264799">
    <w:abstractNumId w:val="16"/>
  </w:num>
  <w:num w:numId="18" w16cid:durableId="310716228">
    <w:abstractNumId w:val="30"/>
  </w:num>
  <w:num w:numId="19" w16cid:durableId="2098211969">
    <w:abstractNumId w:val="25"/>
  </w:num>
  <w:num w:numId="20" w16cid:durableId="1371028682">
    <w:abstractNumId w:val="8"/>
  </w:num>
  <w:num w:numId="21" w16cid:durableId="1238979370">
    <w:abstractNumId w:val="26"/>
  </w:num>
  <w:num w:numId="22" w16cid:durableId="240991121">
    <w:abstractNumId w:val="27"/>
  </w:num>
  <w:num w:numId="23" w16cid:durableId="320739412">
    <w:abstractNumId w:val="28"/>
  </w:num>
  <w:num w:numId="24" w16cid:durableId="1199973474">
    <w:abstractNumId w:val="33"/>
  </w:num>
  <w:num w:numId="25" w16cid:durableId="621691793">
    <w:abstractNumId w:val="22"/>
  </w:num>
  <w:num w:numId="26" w16cid:durableId="1979842616">
    <w:abstractNumId w:val="14"/>
  </w:num>
  <w:num w:numId="27" w16cid:durableId="1816410766">
    <w:abstractNumId w:val="5"/>
  </w:num>
  <w:num w:numId="28" w16cid:durableId="118424638">
    <w:abstractNumId w:val="23"/>
  </w:num>
  <w:num w:numId="29" w16cid:durableId="1256095104">
    <w:abstractNumId w:val="1"/>
  </w:num>
  <w:num w:numId="30" w16cid:durableId="23677594">
    <w:abstractNumId w:val="24"/>
  </w:num>
  <w:num w:numId="31" w16cid:durableId="574776641">
    <w:abstractNumId w:val="29"/>
  </w:num>
  <w:num w:numId="32" w16cid:durableId="123355956">
    <w:abstractNumId w:val="12"/>
  </w:num>
  <w:num w:numId="33" w16cid:durableId="1859420107">
    <w:abstractNumId w:val="17"/>
  </w:num>
  <w:num w:numId="34" w16cid:durableId="1711031091">
    <w:abstractNumId w:val="3"/>
  </w:num>
  <w:num w:numId="35" w16cid:durableId="2129006172">
    <w:abstractNumId w:val="35"/>
  </w:num>
  <w:num w:numId="36" w16cid:durableId="499321678">
    <w:abstractNumId w:val="10"/>
  </w:num>
  <w:num w:numId="37" w16cid:durableId="2033143193">
    <w:abstractNumId w:val="11"/>
  </w:num>
  <w:num w:numId="38" w16cid:durableId="2115519857">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3C"/>
    <w:rsid w:val="00056D42"/>
    <w:rsid w:val="00056D80"/>
    <w:rsid w:val="00056DA1"/>
    <w:rsid w:val="00056E71"/>
    <w:rsid w:val="00056EC3"/>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42"/>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D2"/>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011"/>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32"/>
    <w:rsid w:val="00074073"/>
    <w:rsid w:val="00074133"/>
    <w:rsid w:val="00074300"/>
    <w:rsid w:val="0007439D"/>
    <w:rsid w:val="00074402"/>
    <w:rsid w:val="0007442F"/>
    <w:rsid w:val="00074470"/>
    <w:rsid w:val="000745BB"/>
    <w:rsid w:val="000745C8"/>
    <w:rsid w:val="00074600"/>
    <w:rsid w:val="0007464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E0"/>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79"/>
    <w:rsid w:val="000D70F5"/>
    <w:rsid w:val="000D710B"/>
    <w:rsid w:val="000D71AE"/>
    <w:rsid w:val="000D725E"/>
    <w:rsid w:val="000D730B"/>
    <w:rsid w:val="000D7320"/>
    <w:rsid w:val="000D7361"/>
    <w:rsid w:val="000D73B3"/>
    <w:rsid w:val="000D7567"/>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D77"/>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201E"/>
    <w:rsid w:val="001120DA"/>
    <w:rsid w:val="00112105"/>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EBC"/>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65"/>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83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96"/>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8BC"/>
    <w:rsid w:val="001829ED"/>
    <w:rsid w:val="00182A20"/>
    <w:rsid w:val="00182A30"/>
    <w:rsid w:val="00182AF0"/>
    <w:rsid w:val="00182B19"/>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57"/>
    <w:rsid w:val="00187586"/>
    <w:rsid w:val="0018763E"/>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90A"/>
    <w:rsid w:val="001E090D"/>
    <w:rsid w:val="001E096A"/>
    <w:rsid w:val="001E0A39"/>
    <w:rsid w:val="001E0A9C"/>
    <w:rsid w:val="001E0B1D"/>
    <w:rsid w:val="001E0B6F"/>
    <w:rsid w:val="001E0BD7"/>
    <w:rsid w:val="001E0C1A"/>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66"/>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2A"/>
    <w:rsid w:val="00203E6F"/>
    <w:rsid w:val="00203ED6"/>
    <w:rsid w:val="00203F33"/>
    <w:rsid w:val="0020408C"/>
    <w:rsid w:val="002040B1"/>
    <w:rsid w:val="002040B5"/>
    <w:rsid w:val="0020417E"/>
    <w:rsid w:val="0020418D"/>
    <w:rsid w:val="00204202"/>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721"/>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AC"/>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5E6"/>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1C"/>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3D"/>
    <w:rsid w:val="002E637E"/>
    <w:rsid w:val="002E6422"/>
    <w:rsid w:val="002E645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ACC"/>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4FE8"/>
    <w:rsid w:val="00315000"/>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6FC"/>
    <w:rsid w:val="0031671A"/>
    <w:rsid w:val="003168F2"/>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1DE"/>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0"/>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7B7"/>
    <w:rsid w:val="00352863"/>
    <w:rsid w:val="0035286B"/>
    <w:rsid w:val="003528B5"/>
    <w:rsid w:val="003528BF"/>
    <w:rsid w:val="003528D7"/>
    <w:rsid w:val="00352914"/>
    <w:rsid w:val="0035293C"/>
    <w:rsid w:val="0035295D"/>
    <w:rsid w:val="003529DB"/>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78"/>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C2"/>
    <w:rsid w:val="00395DDE"/>
    <w:rsid w:val="00395E90"/>
    <w:rsid w:val="00395F57"/>
    <w:rsid w:val="00395F8F"/>
    <w:rsid w:val="00395F90"/>
    <w:rsid w:val="003960C6"/>
    <w:rsid w:val="00396137"/>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DAC"/>
    <w:rsid w:val="003A7E55"/>
    <w:rsid w:val="003A7F0A"/>
    <w:rsid w:val="003A7F4B"/>
    <w:rsid w:val="003B0065"/>
    <w:rsid w:val="003B0084"/>
    <w:rsid w:val="003B015D"/>
    <w:rsid w:val="003B01B8"/>
    <w:rsid w:val="003B0308"/>
    <w:rsid w:val="003B0319"/>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CD"/>
    <w:rsid w:val="003C2EAE"/>
    <w:rsid w:val="003C2F44"/>
    <w:rsid w:val="003C30E0"/>
    <w:rsid w:val="003C3129"/>
    <w:rsid w:val="003C31B7"/>
    <w:rsid w:val="003C3264"/>
    <w:rsid w:val="003C32B2"/>
    <w:rsid w:val="003C334D"/>
    <w:rsid w:val="003C3394"/>
    <w:rsid w:val="003C348D"/>
    <w:rsid w:val="003C34C7"/>
    <w:rsid w:val="003C3540"/>
    <w:rsid w:val="003C3555"/>
    <w:rsid w:val="003C3575"/>
    <w:rsid w:val="003C35C0"/>
    <w:rsid w:val="003C35DF"/>
    <w:rsid w:val="003C3719"/>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E6"/>
    <w:rsid w:val="003D563B"/>
    <w:rsid w:val="003D575C"/>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1B"/>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DAF"/>
    <w:rsid w:val="00442DB3"/>
    <w:rsid w:val="00442E2D"/>
    <w:rsid w:val="00442E2F"/>
    <w:rsid w:val="00442E77"/>
    <w:rsid w:val="00442F6E"/>
    <w:rsid w:val="00442FE7"/>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B"/>
    <w:rsid w:val="004954BF"/>
    <w:rsid w:val="00495602"/>
    <w:rsid w:val="00495693"/>
    <w:rsid w:val="00495696"/>
    <w:rsid w:val="004956D4"/>
    <w:rsid w:val="004958F6"/>
    <w:rsid w:val="004959EB"/>
    <w:rsid w:val="00495AAE"/>
    <w:rsid w:val="00495AC6"/>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C37"/>
    <w:rsid w:val="004A7C77"/>
    <w:rsid w:val="004A7C80"/>
    <w:rsid w:val="004A7D38"/>
    <w:rsid w:val="004A7E1E"/>
    <w:rsid w:val="004A7E85"/>
    <w:rsid w:val="004A7EC9"/>
    <w:rsid w:val="004A7F54"/>
    <w:rsid w:val="004A7F6A"/>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EF"/>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03"/>
    <w:rsid w:val="004E32C3"/>
    <w:rsid w:val="004E32C6"/>
    <w:rsid w:val="004E333B"/>
    <w:rsid w:val="004E3422"/>
    <w:rsid w:val="004E3479"/>
    <w:rsid w:val="004E349A"/>
    <w:rsid w:val="004E36E3"/>
    <w:rsid w:val="004E37A6"/>
    <w:rsid w:val="004E37DB"/>
    <w:rsid w:val="004E37E7"/>
    <w:rsid w:val="004E380E"/>
    <w:rsid w:val="004E3848"/>
    <w:rsid w:val="004E38B3"/>
    <w:rsid w:val="004E3942"/>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A3"/>
    <w:rsid w:val="004E71AF"/>
    <w:rsid w:val="004E7266"/>
    <w:rsid w:val="004E7317"/>
    <w:rsid w:val="004E7363"/>
    <w:rsid w:val="004E7372"/>
    <w:rsid w:val="004E73D0"/>
    <w:rsid w:val="004E7405"/>
    <w:rsid w:val="004E7616"/>
    <w:rsid w:val="004E7675"/>
    <w:rsid w:val="004E76D8"/>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0B8"/>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07ED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923"/>
    <w:rsid w:val="00585A48"/>
    <w:rsid w:val="00585B0D"/>
    <w:rsid w:val="00585B9E"/>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97B"/>
    <w:rsid w:val="00595A11"/>
    <w:rsid w:val="00595A27"/>
    <w:rsid w:val="00595AAC"/>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102"/>
    <w:rsid w:val="005B3133"/>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44"/>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1A"/>
    <w:rsid w:val="005D5732"/>
    <w:rsid w:val="005D575F"/>
    <w:rsid w:val="005D5780"/>
    <w:rsid w:val="005D57E6"/>
    <w:rsid w:val="005D5818"/>
    <w:rsid w:val="005D58A2"/>
    <w:rsid w:val="005D5B26"/>
    <w:rsid w:val="005D5C08"/>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4ED"/>
    <w:rsid w:val="0060052E"/>
    <w:rsid w:val="0060062B"/>
    <w:rsid w:val="006006AC"/>
    <w:rsid w:val="0060072E"/>
    <w:rsid w:val="0060073C"/>
    <w:rsid w:val="0060075F"/>
    <w:rsid w:val="0060076D"/>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D03"/>
    <w:rsid w:val="00602D17"/>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1FBE"/>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07"/>
    <w:rsid w:val="006A3CB2"/>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21"/>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474"/>
    <w:rsid w:val="007204AB"/>
    <w:rsid w:val="00720599"/>
    <w:rsid w:val="007205D4"/>
    <w:rsid w:val="00720600"/>
    <w:rsid w:val="00720697"/>
    <w:rsid w:val="007206C0"/>
    <w:rsid w:val="0072075C"/>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62"/>
    <w:rsid w:val="007278A1"/>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4F95"/>
    <w:rsid w:val="00735074"/>
    <w:rsid w:val="0073510C"/>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3CE"/>
    <w:rsid w:val="00740409"/>
    <w:rsid w:val="0074044B"/>
    <w:rsid w:val="007404AD"/>
    <w:rsid w:val="0074050C"/>
    <w:rsid w:val="0074050E"/>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6AA"/>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2CF"/>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98"/>
    <w:rsid w:val="007E3BA3"/>
    <w:rsid w:val="007E3BEB"/>
    <w:rsid w:val="007E3C24"/>
    <w:rsid w:val="007E3DB9"/>
    <w:rsid w:val="007E3DFA"/>
    <w:rsid w:val="007E3E20"/>
    <w:rsid w:val="007E3F14"/>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450"/>
    <w:rsid w:val="007E550A"/>
    <w:rsid w:val="007E5537"/>
    <w:rsid w:val="007E5582"/>
    <w:rsid w:val="007E55C9"/>
    <w:rsid w:val="007E5697"/>
    <w:rsid w:val="007E582D"/>
    <w:rsid w:val="007E5878"/>
    <w:rsid w:val="007E588F"/>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20"/>
    <w:rsid w:val="00804434"/>
    <w:rsid w:val="0080447E"/>
    <w:rsid w:val="008044E3"/>
    <w:rsid w:val="00804502"/>
    <w:rsid w:val="008045AF"/>
    <w:rsid w:val="0080467F"/>
    <w:rsid w:val="008046B4"/>
    <w:rsid w:val="0080470E"/>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60"/>
    <w:rsid w:val="008209B6"/>
    <w:rsid w:val="008209BF"/>
    <w:rsid w:val="008209C3"/>
    <w:rsid w:val="008209CE"/>
    <w:rsid w:val="00820A03"/>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73"/>
    <w:rsid w:val="00835CE3"/>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14"/>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92"/>
    <w:rsid w:val="00883F98"/>
    <w:rsid w:val="0088418E"/>
    <w:rsid w:val="008841DB"/>
    <w:rsid w:val="0088423D"/>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33"/>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81"/>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F60"/>
    <w:rsid w:val="008B5000"/>
    <w:rsid w:val="008B505B"/>
    <w:rsid w:val="008B5069"/>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B0"/>
    <w:rsid w:val="008B7BF0"/>
    <w:rsid w:val="008B7E21"/>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A5D"/>
    <w:rsid w:val="008C4AE7"/>
    <w:rsid w:val="008C4B34"/>
    <w:rsid w:val="008C4C24"/>
    <w:rsid w:val="008C4C99"/>
    <w:rsid w:val="008C4E8C"/>
    <w:rsid w:val="008C4EA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7EB"/>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16"/>
    <w:rsid w:val="008F0933"/>
    <w:rsid w:val="008F0966"/>
    <w:rsid w:val="008F0968"/>
    <w:rsid w:val="008F0991"/>
    <w:rsid w:val="008F099F"/>
    <w:rsid w:val="008F09AD"/>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8D"/>
    <w:rsid w:val="008F14AA"/>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B36"/>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D"/>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F7"/>
    <w:rsid w:val="00925815"/>
    <w:rsid w:val="00925835"/>
    <w:rsid w:val="00925840"/>
    <w:rsid w:val="009258F3"/>
    <w:rsid w:val="00925A2D"/>
    <w:rsid w:val="00925A99"/>
    <w:rsid w:val="00925AD8"/>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16"/>
    <w:rsid w:val="00943369"/>
    <w:rsid w:val="00943381"/>
    <w:rsid w:val="009433C9"/>
    <w:rsid w:val="0094342C"/>
    <w:rsid w:val="00943473"/>
    <w:rsid w:val="00943529"/>
    <w:rsid w:val="00943536"/>
    <w:rsid w:val="00943632"/>
    <w:rsid w:val="00943763"/>
    <w:rsid w:val="009437A0"/>
    <w:rsid w:val="00943884"/>
    <w:rsid w:val="0094388F"/>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50"/>
    <w:rsid w:val="009629B0"/>
    <w:rsid w:val="009629D6"/>
    <w:rsid w:val="00962A02"/>
    <w:rsid w:val="00962A14"/>
    <w:rsid w:val="00962A6F"/>
    <w:rsid w:val="00962A90"/>
    <w:rsid w:val="00962A9A"/>
    <w:rsid w:val="00962AB3"/>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88F"/>
    <w:rsid w:val="009A3893"/>
    <w:rsid w:val="009A38B0"/>
    <w:rsid w:val="009A3A10"/>
    <w:rsid w:val="009A3A55"/>
    <w:rsid w:val="009A3A5D"/>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33"/>
    <w:rsid w:val="009C3981"/>
    <w:rsid w:val="009C39DE"/>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B9"/>
    <w:rsid w:val="009C750E"/>
    <w:rsid w:val="009C758F"/>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D21"/>
    <w:rsid w:val="009F3D4E"/>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3C2"/>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DA1"/>
    <w:rsid w:val="00A21E51"/>
    <w:rsid w:val="00A21EAF"/>
    <w:rsid w:val="00A21EFC"/>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30"/>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B8D"/>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8BF"/>
    <w:rsid w:val="00B10939"/>
    <w:rsid w:val="00B10982"/>
    <w:rsid w:val="00B109C7"/>
    <w:rsid w:val="00B10ADC"/>
    <w:rsid w:val="00B10AFD"/>
    <w:rsid w:val="00B10C67"/>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70"/>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6C"/>
    <w:rsid w:val="00B44B9B"/>
    <w:rsid w:val="00B44D3A"/>
    <w:rsid w:val="00B44DB9"/>
    <w:rsid w:val="00B44DF3"/>
    <w:rsid w:val="00B44E51"/>
    <w:rsid w:val="00B44F31"/>
    <w:rsid w:val="00B44F7F"/>
    <w:rsid w:val="00B45039"/>
    <w:rsid w:val="00B450D7"/>
    <w:rsid w:val="00B450E7"/>
    <w:rsid w:val="00B45154"/>
    <w:rsid w:val="00B4517E"/>
    <w:rsid w:val="00B451FD"/>
    <w:rsid w:val="00B452DF"/>
    <w:rsid w:val="00B45356"/>
    <w:rsid w:val="00B453D6"/>
    <w:rsid w:val="00B4551D"/>
    <w:rsid w:val="00B4565C"/>
    <w:rsid w:val="00B45681"/>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981"/>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0B"/>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3FE7"/>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73E"/>
    <w:rsid w:val="00BC7935"/>
    <w:rsid w:val="00BC7995"/>
    <w:rsid w:val="00BC79D9"/>
    <w:rsid w:val="00BC7AB5"/>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AE"/>
    <w:rsid w:val="00BD6DFA"/>
    <w:rsid w:val="00BD6EA4"/>
    <w:rsid w:val="00BD6EF6"/>
    <w:rsid w:val="00BD6F71"/>
    <w:rsid w:val="00BD70A9"/>
    <w:rsid w:val="00BD7197"/>
    <w:rsid w:val="00BD71ED"/>
    <w:rsid w:val="00BD71F6"/>
    <w:rsid w:val="00BD7305"/>
    <w:rsid w:val="00BD730F"/>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BC"/>
    <w:rsid w:val="00BE3BC3"/>
    <w:rsid w:val="00BE3C13"/>
    <w:rsid w:val="00BE3C72"/>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51"/>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488"/>
    <w:rsid w:val="00C3455C"/>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68D"/>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25"/>
    <w:rsid w:val="00C60149"/>
    <w:rsid w:val="00C601E9"/>
    <w:rsid w:val="00C60281"/>
    <w:rsid w:val="00C603D4"/>
    <w:rsid w:val="00C60483"/>
    <w:rsid w:val="00C60548"/>
    <w:rsid w:val="00C6068F"/>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FA0"/>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9F2"/>
    <w:rsid w:val="00C97AB2"/>
    <w:rsid w:val="00C97B7D"/>
    <w:rsid w:val="00C97B99"/>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9"/>
    <w:rsid w:val="00CC3A9C"/>
    <w:rsid w:val="00CC3AF2"/>
    <w:rsid w:val="00CC3C19"/>
    <w:rsid w:val="00CC3C32"/>
    <w:rsid w:val="00CC3E54"/>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2FA2"/>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340"/>
    <w:rsid w:val="00CF4358"/>
    <w:rsid w:val="00CF44DF"/>
    <w:rsid w:val="00CF4508"/>
    <w:rsid w:val="00CF453A"/>
    <w:rsid w:val="00CF4690"/>
    <w:rsid w:val="00CF46A0"/>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D6"/>
    <w:rsid w:val="00D33807"/>
    <w:rsid w:val="00D3392D"/>
    <w:rsid w:val="00D33993"/>
    <w:rsid w:val="00D33A8A"/>
    <w:rsid w:val="00D33A97"/>
    <w:rsid w:val="00D33AEE"/>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5EE"/>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A7"/>
    <w:rsid w:val="00D65CD8"/>
    <w:rsid w:val="00D65D75"/>
    <w:rsid w:val="00D65DD0"/>
    <w:rsid w:val="00D65E20"/>
    <w:rsid w:val="00D65E28"/>
    <w:rsid w:val="00D66015"/>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F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D32"/>
    <w:rsid w:val="00D80D77"/>
    <w:rsid w:val="00D80E28"/>
    <w:rsid w:val="00D80E9A"/>
    <w:rsid w:val="00D80ECA"/>
    <w:rsid w:val="00D80EDD"/>
    <w:rsid w:val="00D8104B"/>
    <w:rsid w:val="00D8110E"/>
    <w:rsid w:val="00D8112F"/>
    <w:rsid w:val="00D81160"/>
    <w:rsid w:val="00D8120C"/>
    <w:rsid w:val="00D81298"/>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26"/>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59"/>
    <w:rsid w:val="00DC7164"/>
    <w:rsid w:val="00DC717A"/>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0F"/>
    <w:rsid w:val="00E425B5"/>
    <w:rsid w:val="00E425C0"/>
    <w:rsid w:val="00E42606"/>
    <w:rsid w:val="00E426AA"/>
    <w:rsid w:val="00E42741"/>
    <w:rsid w:val="00E427C0"/>
    <w:rsid w:val="00E427D8"/>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1BF"/>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5FB"/>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4F8C"/>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BD3"/>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C5"/>
    <w:rsid w:val="00F25D6F"/>
    <w:rsid w:val="00F25D8D"/>
    <w:rsid w:val="00F25E91"/>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0FC"/>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DE"/>
    <w:rsid w:val="00F8191F"/>
    <w:rsid w:val="00F8199A"/>
    <w:rsid w:val="00F81A75"/>
    <w:rsid w:val="00F81A92"/>
    <w:rsid w:val="00F81BCF"/>
    <w:rsid w:val="00F81CBD"/>
    <w:rsid w:val="00F81D79"/>
    <w:rsid w:val="00F81D89"/>
    <w:rsid w:val="00F81D8F"/>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F7"/>
    <w:rsid w:val="00F975DD"/>
    <w:rsid w:val="00F97636"/>
    <w:rsid w:val="00F976E7"/>
    <w:rsid w:val="00F97788"/>
    <w:rsid w:val="00F9779F"/>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39"/>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E99"/>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30EC"/>
    <w:rsid w:val="00FF30EE"/>
    <w:rsid w:val="00FF30F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19484E87-AB29-4803-9C46-AB59D2A01E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503</Words>
  <Characters>2769</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3266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2022-12-09T20:58:00Z</dcterms:created>
  <dcterms:modified xsi:type="dcterms:W3CDTF">2022-12-09T20:58:00Z</dcterms:modified>
</cp:coreProperties>
</file>