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CB6D16" w14:textId="41C00DCC" w:rsidR="009F0144" w:rsidRPr="009F0144" w:rsidRDefault="009F0144" w:rsidP="009F0144">
      <w:pPr>
        <w:keepNext/>
        <w:framePr w:dropCap="drop" w:lines="3" w:wrap="around" w:vAnchor="text" w:hAnchor="text"/>
        <w:spacing w:after="0" w:line="926" w:lineRule="exact"/>
        <w:textAlignment w:val="baseline"/>
        <w:rPr>
          <w:position w:val="-9"/>
          <w:sz w:val="123"/>
          <w:lang w:val="en-US"/>
        </w:rPr>
      </w:pPr>
      <w:r w:rsidRPr="009F0144">
        <w:rPr>
          <w:position w:val="-9"/>
          <w:sz w:val="123"/>
          <w:lang w:val="en-US"/>
        </w:rPr>
        <w:t>E</w:t>
      </w:r>
    </w:p>
    <w:p w14:paraId="71268289" w14:textId="3F83A130" w:rsidR="00C52666" w:rsidRDefault="009F0144" w:rsidP="009F0144">
      <w:r>
        <w:rPr>
          <w:lang w:val="en-US"/>
        </w:rPr>
        <w:t xml:space="preserve">n la </w:t>
      </w:r>
      <w:r w:rsidRPr="009F0144">
        <w:rPr>
          <w:i/>
          <w:iCs/>
          <w:lang w:val="en-US"/>
        </w:rPr>
        <w:t>Journal of Accounting and Public Policy</w:t>
      </w:r>
      <w:r>
        <w:rPr>
          <w:i/>
          <w:iCs/>
          <w:lang w:val="en-US"/>
        </w:rPr>
        <w:t xml:space="preserve"> </w:t>
      </w:r>
      <w:r w:rsidRPr="009F0144">
        <w:rPr>
          <w:lang w:val="en-US"/>
        </w:rPr>
        <w:t>41 (2022) 106995</w:t>
      </w:r>
      <w:r>
        <w:rPr>
          <w:lang w:val="en-US"/>
        </w:rPr>
        <w:t xml:space="preserve">, </w:t>
      </w:r>
      <w:proofErr w:type="spellStart"/>
      <w:r>
        <w:rPr>
          <w:lang w:val="en-US"/>
        </w:rPr>
        <w:t>aparece</w:t>
      </w:r>
      <w:proofErr w:type="spellEnd"/>
      <w:r>
        <w:rPr>
          <w:lang w:val="en-US"/>
        </w:rPr>
        <w:t xml:space="preserve"> el </w:t>
      </w:r>
      <w:proofErr w:type="spellStart"/>
      <w:r>
        <w:rPr>
          <w:lang w:val="en-US"/>
        </w:rPr>
        <w:t>artículo</w:t>
      </w:r>
      <w:proofErr w:type="spellEnd"/>
      <w:r>
        <w:rPr>
          <w:lang w:val="en-US"/>
        </w:rPr>
        <w:t xml:space="preserve"> </w:t>
      </w:r>
      <w:r w:rsidRPr="009F0144">
        <w:rPr>
          <w:i/>
          <w:iCs/>
          <w:lang w:val="en-US"/>
        </w:rPr>
        <w:t>The real effects of disclosure regulation: Evidence from mandatory CFO compensation disclosure</w:t>
      </w:r>
      <w:r>
        <w:rPr>
          <w:lang w:val="en-US"/>
        </w:rPr>
        <w:t xml:space="preserve"> , </w:t>
      </w:r>
      <w:proofErr w:type="spellStart"/>
      <w:r>
        <w:rPr>
          <w:lang w:val="en-US"/>
        </w:rPr>
        <w:t>escrito</w:t>
      </w:r>
      <w:proofErr w:type="spellEnd"/>
      <w:r>
        <w:rPr>
          <w:lang w:val="en-US"/>
        </w:rPr>
        <w:t xml:space="preserve"> </w:t>
      </w:r>
      <w:proofErr w:type="spellStart"/>
      <w:r>
        <w:rPr>
          <w:lang w:val="en-US"/>
        </w:rPr>
        <w:t>por</w:t>
      </w:r>
      <w:proofErr w:type="spellEnd"/>
      <w:r>
        <w:rPr>
          <w:lang w:val="en-US"/>
        </w:rPr>
        <w:t xml:space="preserve"> </w:t>
      </w:r>
      <w:proofErr w:type="spellStart"/>
      <w:r w:rsidRPr="009F0144">
        <w:rPr>
          <w:lang w:val="en-US"/>
        </w:rPr>
        <w:t>Dichu</w:t>
      </w:r>
      <w:proofErr w:type="spellEnd"/>
      <w:r w:rsidRPr="009F0144">
        <w:rPr>
          <w:lang w:val="en-US"/>
        </w:rPr>
        <w:t xml:space="preserve"> Bao</w:t>
      </w:r>
      <w:r>
        <w:rPr>
          <w:lang w:val="en-US"/>
        </w:rPr>
        <w:t xml:space="preserve">, </w:t>
      </w:r>
      <w:proofErr w:type="spellStart"/>
      <w:r w:rsidRPr="009F0144">
        <w:rPr>
          <w:lang w:val="en-US"/>
        </w:rPr>
        <w:t>Lixin</w:t>
      </w:r>
      <w:proofErr w:type="spellEnd"/>
      <w:r w:rsidRPr="009F0144">
        <w:rPr>
          <w:lang w:val="en-US"/>
        </w:rPr>
        <w:t xml:space="preserve"> (Nancy) </w:t>
      </w:r>
      <w:proofErr w:type="spellStart"/>
      <w:r w:rsidRPr="009F0144">
        <w:rPr>
          <w:lang w:val="en-US"/>
        </w:rPr>
        <w:t>Su</w:t>
      </w:r>
      <w:proofErr w:type="spellEnd"/>
      <w:r>
        <w:rPr>
          <w:lang w:val="en-US"/>
        </w:rPr>
        <w:t xml:space="preserve"> &amp;</w:t>
      </w:r>
      <w:r w:rsidRPr="009F0144">
        <w:rPr>
          <w:lang w:val="en-US"/>
        </w:rPr>
        <w:t xml:space="preserve"> Yong Zhang</w:t>
      </w:r>
      <w:r>
        <w:rPr>
          <w:lang w:val="en-US"/>
        </w:rPr>
        <w:t xml:space="preserve">, </w:t>
      </w:r>
      <w:proofErr w:type="spellStart"/>
      <w:r>
        <w:rPr>
          <w:lang w:val="en-US"/>
        </w:rPr>
        <w:t>aparece</w:t>
      </w:r>
      <w:proofErr w:type="spellEnd"/>
      <w:r>
        <w:rPr>
          <w:lang w:val="en-US"/>
        </w:rPr>
        <w:t xml:space="preserve"> el </w:t>
      </w:r>
      <w:proofErr w:type="spellStart"/>
      <w:r>
        <w:rPr>
          <w:lang w:val="en-US"/>
        </w:rPr>
        <w:t>siguiente</w:t>
      </w:r>
      <w:proofErr w:type="spellEnd"/>
      <w:r>
        <w:rPr>
          <w:lang w:val="en-US"/>
        </w:rPr>
        <w:t xml:space="preserve"> </w:t>
      </w:r>
      <w:proofErr w:type="spellStart"/>
      <w:r>
        <w:rPr>
          <w:lang w:val="en-US"/>
        </w:rPr>
        <w:t>resumen</w:t>
      </w:r>
      <w:proofErr w:type="spellEnd"/>
      <w:r>
        <w:rPr>
          <w:lang w:val="en-US"/>
        </w:rPr>
        <w:t>:</w:t>
      </w:r>
      <w:r w:rsidRPr="009F0144">
        <w:rPr>
          <w:lang w:val="en-US"/>
        </w:rPr>
        <w:t xml:space="preserve"> </w:t>
      </w:r>
      <w:r w:rsidR="00082D43">
        <w:rPr>
          <w:lang w:val="en-US"/>
        </w:rPr>
        <w:t>“</w:t>
      </w:r>
      <w:r w:rsidR="00082D43" w:rsidRPr="00082D43">
        <w:rPr>
          <w:i/>
          <w:iCs/>
          <w:lang w:val="en-US"/>
        </w:rPr>
        <w:t>The 2006 SEC rule, by changing the definition of Named Executive Officers, mandates CFO compensation disclosure. Using this setting and a difference-in-differences research design, we study the real effects of CFO compensation disclosure regulation on CFO job performance. We hypothesize that the disclosure of CFO compensation information, by facilitating shareholder monitoring of the board in providing appropriate incentives to CFOs, leads to better CFO job performance in providing high-quality financial reports. The analyses support our prediction: the treatment firms, which start disclosing CFO compensation information under the 2006 rule, compared to the control firms, which already disclose CFO compensation before 2006, experience an improvement in CFO performance, as exhibited in decreases in accounting misstatements and unexplained audit fees. The results are more pronounced for firms with concentrated ownership, smaller compensation committees, and CFOs subject to weaker monitoring by audit committees. Overall, we provide evidence of a real effect resulting from mandatory CFO compensation disclosure</w:t>
      </w:r>
      <w:r w:rsidR="00082D43" w:rsidRPr="00082D43">
        <w:rPr>
          <w:lang w:val="en-US"/>
        </w:rPr>
        <w:t>.</w:t>
      </w:r>
      <w:r w:rsidR="00082D43">
        <w:rPr>
          <w:lang w:val="en-US"/>
        </w:rPr>
        <w:t>”</w:t>
      </w:r>
      <w:r>
        <w:rPr>
          <w:lang w:val="en-US"/>
        </w:rPr>
        <w:t xml:space="preserve"> </w:t>
      </w:r>
      <w:r w:rsidRPr="009F0144">
        <w:t>Las oposiciones a las revelaciones suelen provenir de los dueños y</w:t>
      </w:r>
      <w:r>
        <w:t xml:space="preserve"> de los administradores, cuyas razones pueden o no coincidir. </w:t>
      </w:r>
      <w:r w:rsidR="006A364B">
        <w:t xml:space="preserve">Esta actitud altera la ley, la ética y la moral, cogiendo el camino del engaño, que es lo que logran al no incluir revelaciones. A veces se crea un </w:t>
      </w:r>
      <w:r w:rsidR="006A364B">
        <w:t>conflicto con los revisores, pero usualmente estos son conquistad</w:t>
      </w:r>
      <w:r w:rsidR="00D67499">
        <w:t>os, de manera que guardan silencio, convirtiéndose en cómplices. Todos tienen un discurso para justificar sus posiciones, en lugar de obedecer las normas.</w:t>
      </w:r>
      <w:r w:rsidR="009432D7">
        <w:t xml:space="preserve"> La historia cuenta que el secreto, el silencio, las mentiras, finalmente se descubren. Entonces todos se escandalizan cuando momentos antes también eran partidarios de lo que sucedía.</w:t>
      </w:r>
      <w:r w:rsidR="00EF3842">
        <w:t xml:space="preserve"> Esto es lo que se conoce como oportunismo. Estamos listos para no dejar caer lo que vemos que se resbala de la mesa.</w:t>
      </w:r>
      <w:r w:rsidR="00ED7CE6">
        <w:t xml:space="preserve"> Sin duda la transparencia es el mejor antídoto contra la corrupción. Pero esto no impulsa a las personas, pues más bien les indica que se debe evitar.</w:t>
      </w:r>
      <w:r w:rsidR="00AE4810">
        <w:t xml:space="preserve"> La sociedad colombiana quiere lograr que las personas nos dediquemos a la transparencia, pero en verdad presiona más a algunos, como los contadores. Esto es una injusticia que ha venido desfigurando a los contadores. Estos profesionales entienden que </w:t>
      </w:r>
      <w:r w:rsidR="00C52666">
        <w:t>deben</w:t>
      </w:r>
      <w:r w:rsidR="00AE4810">
        <w:t xml:space="preserve"> asumir el mismo comportamiento que cualquier ciudadano, contando desde las sospechas hasta la certeza, pero no están dispuesto</w:t>
      </w:r>
      <w:r w:rsidR="00C52666">
        <w:t>s</w:t>
      </w:r>
      <w:r w:rsidR="00AE4810">
        <w:t xml:space="preserve"> a hace</w:t>
      </w:r>
      <w:r w:rsidR="008946D9">
        <w:t>r</w:t>
      </w:r>
      <w:r w:rsidR="00AE4810">
        <w:t xml:space="preserve"> esto sin la protección del Estado.</w:t>
      </w:r>
      <w:r w:rsidR="00C52666">
        <w:t xml:space="preserve"> No es claro por qué no se utiliza el mismo rigor con los dueños y administradores, quienes por mucho tiempo son recibidos con honores en muchos despachos oficiales. El criterio es que quienes tienen mucha plata, emplean empleados y pagan honorarios, además de ser poderosos son los mejores. Esto resulta ser falso en muchos casos, por lo que el aprendizaje de los estudiantes debe orientarse de otra forma, para que reconozcan las personalidades.</w:t>
      </w:r>
    </w:p>
    <w:p w14:paraId="37CB8355" w14:textId="0A10AAD7" w:rsidR="00C52666" w:rsidRPr="009F0144" w:rsidRDefault="00C52666" w:rsidP="00C52666">
      <w:pPr>
        <w:jc w:val="right"/>
      </w:pPr>
      <w:r w:rsidRPr="003C4ED4">
        <w:rPr>
          <w:i/>
          <w:iCs/>
        </w:rPr>
        <w:t>Hernando Bermúdez Gómez</w:t>
      </w:r>
    </w:p>
    <w:sectPr w:rsidR="00C52666" w:rsidRPr="009F0144"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067A70" w14:textId="77777777" w:rsidR="00FF1FDF" w:rsidRDefault="00FF1FDF" w:rsidP="00EE7812">
      <w:pPr>
        <w:spacing w:after="0" w:line="240" w:lineRule="auto"/>
      </w:pPr>
      <w:r>
        <w:separator/>
      </w:r>
    </w:p>
  </w:endnote>
  <w:endnote w:type="continuationSeparator" w:id="0">
    <w:p w14:paraId="20B3E9BC" w14:textId="77777777" w:rsidR="00FF1FDF" w:rsidRDefault="00FF1FD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D12CE9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1A03B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6C5FB" w14:textId="77777777" w:rsidR="00FF1FDF" w:rsidRDefault="00FF1FDF" w:rsidP="00EE7812">
      <w:pPr>
        <w:spacing w:after="0" w:line="240" w:lineRule="auto"/>
      </w:pPr>
      <w:r>
        <w:separator/>
      </w:r>
    </w:p>
  </w:footnote>
  <w:footnote w:type="continuationSeparator" w:id="0">
    <w:p w14:paraId="2C1CF921" w14:textId="77777777" w:rsidR="00FF1FDF" w:rsidRDefault="00FF1FD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4A4FE4D0" w:rsidR="00684621" w:rsidRDefault="0000261B" w:rsidP="00613BC8">
    <w:pPr>
      <w:pStyle w:val="Header"/>
      <w:tabs>
        <w:tab w:val="left" w:pos="2580"/>
        <w:tab w:val="left" w:pos="2985"/>
      </w:tabs>
      <w:spacing w:line="276" w:lineRule="auto"/>
      <w:jc w:val="right"/>
    </w:pPr>
    <w:r>
      <w:t>Número</w:t>
    </w:r>
    <w:r w:rsidR="00AD1603">
      <w:t xml:space="preserve"> </w:t>
    </w:r>
    <w:r w:rsidR="00737707">
      <w:t>7</w:t>
    </w:r>
    <w:r w:rsidR="00D774E4">
      <w:t>0</w:t>
    </w:r>
    <w:r w:rsidR="005C13E0">
      <w:t>8</w:t>
    </w:r>
    <w:r w:rsidR="00082D43">
      <w:t>4</w:t>
    </w:r>
    <w:r>
      <w:t>,</w:t>
    </w:r>
    <w:r w:rsidR="00AD1603">
      <w:t xml:space="preserve"> </w:t>
    </w:r>
    <w:r w:rsidR="00B55FC5">
      <w:t>26</w:t>
    </w:r>
    <w:r w:rsidR="009365CF">
      <w:t xml:space="preserve"> de </w:t>
    </w:r>
    <w:r w:rsidR="002A232F">
      <w:t>diciembre</w:t>
    </w:r>
    <w:r w:rsidR="00AD1603">
      <w:t xml:space="preserve"> </w:t>
    </w:r>
    <w:r>
      <w:t>de</w:t>
    </w:r>
    <w:r w:rsidR="00AD1603">
      <w:t xml:space="preserve"> </w:t>
    </w:r>
    <w:r>
      <w:t>202</w:t>
    </w:r>
    <w:r w:rsidR="00792932">
      <w:t>2</w:t>
    </w:r>
    <w:r w:rsidR="00FF1FDF">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72533362">
    <w:abstractNumId w:val="0"/>
  </w:num>
  <w:num w:numId="2" w16cid:durableId="500970081">
    <w:abstractNumId w:val="20"/>
  </w:num>
  <w:num w:numId="3" w16cid:durableId="736899437">
    <w:abstractNumId w:val="15"/>
  </w:num>
  <w:num w:numId="4" w16cid:durableId="1601987118">
    <w:abstractNumId w:val="2"/>
  </w:num>
  <w:num w:numId="5" w16cid:durableId="1163273386">
    <w:abstractNumId w:val="19"/>
  </w:num>
  <w:num w:numId="6" w16cid:durableId="486289998">
    <w:abstractNumId w:val="34"/>
  </w:num>
  <w:num w:numId="7" w16cid:durableId="1968462758">
    <w:abstractNumId w:val="13"/>
  </w:num>
  <w:num w:numId="8" w16cid:durableId="1356884524">
    <w:abstractNumId w:val="32"/>
  </w:num>
  <w:num w:numId="9" w16cid:durableId="110318317">
    <w:abstractNumId w:val="37"/>
  </w:num>
  <w:num w:numId="10" w16cid:durableId="664671606">
    <w:abstractNumId w:val="4"/>
  </w:num>
  <w:num w:numId="11" w16cid:durableId="337075159">
    <w:abstractNumId w:val="6"/>
  </w:num>
  <w:num w:numId="12" w16cid:durableId="1564178543">
    <w:abstractNumId w:val="18"/>
  </w:num>
  <w:num w:numId="13" w16cid:durableId="231161227">
    <w:abstractNumId w:val="21"/>
  </w:num>
  <w:num w:numId="14" w16cid:durableId="751436719">
    <w:abstractNumId w:val="31"/>
  </w:num>
  <w:num w:numId="15" w16cid:durableId="827483449">
    <w:abstractNumId w:val="9"/>
  </w:num>
  <w:num w:numId="16" w16cid:durableId="207911517">
    <w:abstractNumId w:val="7"/>
  </w:num>
  <w:num w:numId="17" w16cid:durableId="1495562298">
    <w:abstractNumId w:val="16"/>
  </w:num>
  <w:num w:numId="18" w16cid:durableId="1620644340">
    <w:abstractNumId w:val="30"/>
  </w:num>
  <w:num w:numId="19" w16cid:durableId="2102950898">
    <w:abstractNumId w:val="25"/>
  </w:num>
  <w:num w:numId="20" w16cid:durableId="897395206">
    <w:abstractNumId w:val="8"/>
  </w:num>
  <w:num w:numId="21" w16cid:durableId="1263876162">
    <w:abstractNumId w:val="26"/>
  </w:num>
  <w:num w:numId="22" w16cid:durableId="1961300203">
    <w:abstractNumId w:val="27"/>
  </w:num>
  <w:num w:numId="23" w16cid:durableId="1077559905">
    <w:abstractNumId w:val="28"/>
  </w:num>
  <w:num w:numId="24" w16cid:durableId="177819943">
    <w:abstractNumId w:val="33"/>
  </w:num>
  <w:num w:numId="25" w16cid:durableId="1662806441">
    <w:abstractNumId w:val="22"/>
  </w:num>
  <w:num w:numId="26" w16cid:durableId="504053359">
    <w:abstractNumId w:val="14"/>
  </w:num>
  <w:num w:numId="27" w16cid:durableId="793135347">
    <w:abstractNumId w:val="5"/>
  </w:num>
  <w:num w:numId="28" w16cid:durableId="443574604">
    <w:abstractNumId w:val="23"/>
  </w:num>
  <w:num w:numId="29" w16cid:durableId="135495434">
    <w:abstractNumId w:val="1"/>
  </w:num>
  <w:num w:numId="30" w16cid:durableId="138160221">
    <w:abstractNumId w:val="24"/>
  </w:num>
  <w:num w:numId="31" w16cid:durableId="1914385586">
    <w:abstractNumId w:val="29"/>
  </w:num>
  <w:num w:numId="32" w16cid:durableId="1043401906">
    <w:abstractNumId w:val="12"/>
  </w:num>
  <w:num w:numId="33" w16cid:durableId="1050572402">
    <w:abstractNumId w:val="17"/>
  </w:num>
  <w:num w:numId="34" w16cid:durableId="258686608">
    <w:abstractNumId w:val="3"/>
  </w:num>
  <w:num w:numId="35" w16cid:durableId="1117800050">
    <w:abstractNumId w:val="35"/>
  </w:num>
  <w:num w:numId="36" w16cid:durableId="1230262992">
    <w:abstractNumId w:val="10"/>
  </w:num>
  <w:num w:numId="37" w16cid:durableId="1648779075">
    <w:abstractNumId w:val="11"/>
  </w:num>
  <w:num w:numId="38" w16cid:durableId="104255658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02"/>
    <w:rsid w:val="0007442F"/>
    <w:rsid w:val="00074470"/>
    <w:rsid w:val="000745BB"/>
    <w:rsid w:val="000745C8"/>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D77"/>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6A"/>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ACC"/>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AD"/>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42C"/>
    <w:rsid w:val="00943473"/>
    <w:rsid w:val="00943529"/>
    <w:rsid w:val="00943536"/>
    <w:rsid w:val="00943632"/>
    <w:rsid w:val="00943763"/>
    <w:rsid w:val="009437A0"/>
    <w:rsid w:val="00943884"/>
    <w:rsid w:val="0094388F"/>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64D"/>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14"/>
    <w:rsid w:val="00C515C5"/>
    <w:rsid w:val="00C515E0"/>
    <w:rsid w:val="00C5164C"/>
    <w:rsid w:val="00C5168D"/>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499"/>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1BF"/>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F9"/>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D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0FE"/>
    <w:rsid w:val="00FF31DC"/>
    <w:rsid w:val="00FF321F"/>
    <w:rsid w:val="00FF324B"/>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8D9C56E-C61E-4207-8E91-A4D418C34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2742</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3234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2022-12-24T16:10:00Z</dcterms:created>
  <dcterms:modified xsi:type="dcterms:W3CDTF">2022-12-24T16:10:00Z</dcterms:modified>
</cp:coreProperties>
</file>