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B57C" w14:textId="12A311A3" w:rsidR="00314A44" w:rsidRPr="00314A44" w:rsidRDefault="00314A44" w:rsidP="00314A44">
      <w:pPr>
        <w:keepNext/>
        <w:framePr w:dropCap="drop" w:lines="3" w:wrap="around" w:vAnchor="text" w:hAnchor="text"/>
        <w:spacing w:after="0" w:line="926" w:lineRule="exact"/>
        <w:textAlignment w:val="baseline"/>
        <w:rPr>
          <w:position w:val="-9"/>
          <w:sz w:val="123"/>
        </w:rPr>
      </w:pPr>
      <w:r w:rsidRPr="00314A44">
        <w:rPr>
          <w:position w:val="-9"/>
          <w:sz w:val="123"/>
        </w:rPr>
        <w:t>E</w:t>
      </w:r>
    </w:p>
    <w:p w14:paraId="4511A10B" w14:textId="1AFA7388" w:rsidR="003B0495" w:rsidRDefault="00314A44" w:rsidP="00B2505B">
      <w:r>
        <w:t xml:space="preserve">n las conclusiones </w:t>
      </w:r>
      <w:r w:rsidR="005F3CB8">
        <w:t xml:space="preserve">del artículo escrito por </w:t>
      </w:r>
      <w:r w:rsidR="005F3CB8" w:rsidRPr="005F3CB8">
        <w:t>Esen Aktürk, Mehmet Baha Karan &amp; Burak Pirgaip (2022)</w:t>
      </w:r>
      <w:r w:rsidR="005F3CB8">
        <w:t>, titulado</w:t>
      </w:r>
      <w:r w:rsidR="005F3CB8" w:rsidRPr="005F3CB8">
        <w:t xml:space="preserve"> </w:t>
      </w:r>
      <w:hyperlink r:id="rId8" w:history="1">
        <w:r w:rsidR="005F3CB8" w:rsidRPr="005F3CB8">
          <w:rPr>
            <w:rStyle w:val="Hyperlink"/>
            <w:i/>
          </w:rPr>
          <w:t>Is the effect of dividend policy on the volatility of stock prices stable? An empirical study on European countries</w:t>
        </w:r>
      </w:hyperlink>
      <w:r w:rsidR="005F3CB8" w:rsidRPr="005F3CB8">
        <w:t xml:space="preserve">, </w:t>
      </w:r>
      <w:r w:rsidR="005F3CB8">
        <w:t xml:space="preserve">publicado en </w:t>
      </w:r>
      <w:r w:rsidR="005F3CB8" w:rsidRPr="005F3CB8">
        <w:rPr>
          <w:i/>
        </w:rPr>
        <w:t>Spanish Journal of Finance and Accounting / Revista Española de Financiación y Contabilidad</w:t>
      </w:r>
      <w:r w:rsidR="005F3CB8" w:rsidRPr="005F3CB8">
        <w:t xml:space="preserve">, 51:4, 484-504, </w:t>
      </w:r>
      <w:r>
        <w:t>se lee: “</w:t>
      </w:r>
      <w:r w:rsidRPr="00314A44">
        <w:rPr>
          <w:i/>
        </w:rPr>
        <w:t>Our empirical findings confirm Baskin (1989) in that dividend policy, proxied by dividend yield, payout, and stock repurchases, affects price volatility. More specifically, all these dividend policy indicators move in the opposite direction with volatility with varying significance levels. This is true also for sub-categories of countries and sub-sample periods considered, and the findings are robust to our alternative panel estimations. ―Overall results yield several policy implementations. First, managers should improve the efficiency of dividend policies, particularly in times of uncertainties leading to price volatility in the market. In doing so, stock repurchases can be used to complement dividend payments, which would send enhanced signals to the investment community as to the credibility and financial strength of the firm. Second, investors should diversify their portfolios with stocks issued by dividend-paying/repurchasing firms to avoid the devastating impact of volatility. Third, regulatory bodies should provide flexible rules and regulations that enable firms to implement their dividend policies as practical tools. In particular, an adequate legal framework should be established for stock repurchase transactions in emerging countries.</w:t>
      </w:r>
      <w:r>
        <w:t>”</w:t>
      </w:r>
      <w:r w:rsidR="005F3CB8">
        <w:t xml:space="preserve">. Nosotros tenemos un mercado bursátil muy pequeño por lo que rara vez </w:t>
      </w:r>
      <w:r w:rsidR="005F3CB8">
        <w:t>oímos de inversiones en el capital de las empresas. Además, el tratamiento tributario no es suficientemente estimulante para nuestras circunstancias. La gran mayoría de nuestras organizaciones no tiene acceso a la bolsa. En todo caso, el monto y la oportunidad de los dividendos y la recompra de acciones, todavía más exigua en nuestro medio, efectivamente provocan o no volatibilidad en el precio de nuestros títulos.</w:t>
      </w:r>
      <w:r w:rsidR="00B2505B">
        <w:t xml:space="preserve"> Según Finxard “</w:t>
      </w:r>
      <w:r w:rsidR="00B2505B" w:rsidRPr="003B0495">
        <w:rPr>
          <w:i/>
        </w:rPr>
        <w:t>La lista de rentabilidad es liderada por las acciones de Terpel, que tendría una rentabilidad de 10,9 % y pagaría dividendos por $1.113,8.</w:t>
      </w:r>
      <w:r w:rsidR="003B0495" w:rsidRPr="003B0495">
        <w:rPr>
          <w:i/>
        </w:rPr>
        <w:t xml:space="preserve"> ―</w:t>
      </w:r>
      <w:r w:rsidR="00B2505B" w:rsidRPr="003B0495">
        <w:rPr>
          <w:i/>
        </w:rPr>
        <w:t>El 'top' 5 de las empresas con mejor rentabilidad lo completan Corficolombiana (10,7 %), Cementos Argos (9,8), Preferencial Av Villas (9,6) y BBVA (9%), todas estas por encima del 9 %.</w:t>
      </w:r>
      <w:r w:rsidR="003B0495">
        <w:t>” A veces las empresas observan las bolsas como los mercados en los cuales pueden obtener préstamos a un costo inferior al del mercado financiero, en algunos lugares llamado estrictamente bancario. A veces los inversionistas están pensando en las ventajas de administrar las empresas. A veces el asunto tiene que ver con las sinergias dentro de un grupo. Esto significa que los solos porcentajes de rentabilidad pueden no ser suficientes para comprar acciones.</w:t>
      </w:r>
      <w:r w:rsidR="009258A2">
        <w:t xml:space="preserve"> La inversión en acciones es un asunto que atañe mucho a las finanzas, que también da lugar a ciertas prácticas contables. El estudio del derecho bursátil, parte del llamado derecho de valores, es muy importante para quienes opera</w:t>
      </w:r>
      <w:r w:rsidR="001700FA">
        <w:t>n</w:t>
      </w:r>
      <w:r w:rsidR="009258A2">
        <w:t xml:space="preserve"> en estos mercados. Antes se solía enseñar al interior de los programas de contaduría. Ahora se ignora.</w:t>
      </w:r>
    </w:p>
    <w:p w14:paraId="6D8A0893" w14:textId="5957ED23" w:rsidR="009258A2" w:rsidRPr="00033755" w:rsidRDefault="009258A2" w:rsidP="009258A2">
      <w:pPr>
        <w:jc w:val="right"/>
      </w:pPr>
      <w:r w:rsidRPr="00844BFA">
        <w:rPr>
          <w:i/>
        </w:rPr>
        <w:t>Hernando Bermúdez Gómez</w:t>
      </w:r>
    </w:p>
    <w:sectPr w:rsidR="009258A2" w:rsidRPr="0003375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A827" w14:textId="77777777" w:rsidR="00360F25" w:rsidRDefault="00360F25" w:rsidP="00EE7812">
      <w:pPr>
        <w:spacing w:after="0" w:line="240" w:lineRule="auto"/>
      </w:pPr>
      <w:r>
        <w:separator/>
      </w:r>
    </w:p>
  </w:endnote>
  <w:endnote w:type="continuationSeparator" w:id="0">
    <w:p w14:paraId="07F93A3B" w14:textId="77777777" w:rsidR="00360F25" w:rsidRDefault="00360F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07FD" w14:textId="77777777" w:rsidR="00360F25" w:rsidRDefault="00360F25" w:rsidP="00EE7812">
      <w:pPr>
        <w:spacing w:after="0" w:line="240" w:lineRule="auto"/>
      </w:pPr>
      <w:r>
        <w:separator/>
      </w:r>
    </w:p>
  </w:footnote>
  <w:footnote w:type="continuationSeparator" w:id="0">
    <w:p w14:paraId="46B1000B" w14:textId="77777777" w:rsidR="00360F25" w:rsidRDefault="00360F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r>
      <w:t>Computationis</w:t>
    </w:r>
    <w:r w:rsidR="007C048D">
      <w:t xml:space="preserve"> </w:t>
    </w:r>
    <w:r>
      <w:t>Jure</w:t>
    </w:r>
    <w:r w:rsidR="007C048D">
      <w:t xml:space="preserve"> </w:t>
    </w:r>
    <w:r>
      <w:t>Opiniones</w:t>
    </w:r>
  </w:p>
  <w:p w14:paraId="0379D4DA" w14:textId="0F8D1D98"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0906A1">
      <w:t>3</w:t>
    </w:r>
    <w:r w:rsidR="008B19FE">
      <w:t>8</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0208505">
    <w:abstractNumId w:val="0"/>
  </w:num>
  <w:num w:numId="2" w16cid:durableId="1103648603">
    <w:abstractNumId w:val="20"/>
  </w:num>
  <w:num w:numId="3" w16cid:durableId="358893686">
    <w:abstractNumId w:val="15"/>
  </w:num>
  <w:num w:numId="4" w16cid:durableId="88280574">
    <w:abstractNumId w:val="2"/>
  </w:num>
  <w:num w:numId="5" w16cid:durableId="1278954304">
    <w:abstractNumId w:val="19"/>
  </w:num>
  <w:num w:numId="6" w16cid:durableId="1288390982">
    <w:abstractNumId w:val="34"/>
  </w:num>
  <w:num w:numId="7" w16cid:durableId="1790971105">
    <w:abstractNumId w:val="13"/>
  </w:num>
  <w:num w:numId="8" w16cid:durableId="1756319990">
    <w:abstractNumId w:val="32"/>
  </w:num>
  <w:num w:numId="9" w16cid:durableId="460535373">
    <w:abstractNumId w:val="37"/>
  </w:num>
  <w:num w:numId="10" w16cid:durableId="641663237">
    <w:abstractNumId w:val="4"/>
  </w:num>
  <w:num w:numId="11" w16cid:durableId="134219555">
    <w:abstractNumId w:val="6"/>
  </w:num>
  <w:num w:numId="12" w16cid:durableId="685057741">
    <w:abstractNumId w:val="18"/>
  </w:num>
  <w:num w:numId="13" w16cid:durableId="1406685324">
    <w:abstractNumId w:val="21"/>
  </w:num>
  <w:num w:numId="14" w16cid:durableId="97339142">
    <w:abstractNumId w:val="31"/>
  </w:num>
  <w:num w:numId="15" w16cid:durableId="1868907291">
    <w:abstractNumId w:val="9"/>
  </w:num>
  <w:num w:numId="16" w16cid:durableId="924608366">
    <w:abstractNumId w:val="7"/>
  </w:num>
  <w:num w:numId="17" w16cid:durableId="410347030">
    <w:abstractNumId w:val="16"/>
  </w:num>
  <w:num w:numId="18" w16cid:durableId="1054817869">
    <w:abstractNumId w:val="30"/>
  </w:num>
  <w:num w:numId="19" w16cid:durableId="979771542">
    <w:abstractNumId w:val="25"/>
  </w:num>
  <w:num w:numId="20" w16cid:durableId="2101173281">
    <w:abstractNumId w:val="8"/>
  </w:num>
  <w:num w:numId="21" w16cid:durableId="323165056">
    <w:abstractNumId w:val="26"/>
  </w:num>
  <w:num w:numId="22" w16cid:durableId="240992505">
    <w:abstractNumId w:val="27"/>
  </w:num>
  <w:num w:numId="23" w16cid:durableId="1547179223">
    <w:abstractNumId w:val="28"/>
  </w:num>
  <w:num w:numId="24" w16cid:durableId="329404220">
    <w:abstractNumId w:val="33"/>
  </w:num>
  <w:num w:numId="25" w16cid:durableId="1991791428">
    <w:abstractNumId w:val="22"/>
  </w:num>
  <w:num w:numId="26" w16cid:durableId="1334409264">
    <w:abstractNumId w:val="14"/>
  </w:num>
  <w:num w:numId="27" w16cid:durableId="1924951309">
    <w:abstractNumId w:val="5"/>
  </w:num>
  <w:num w:numId="28" w16cid:durableId="1739017540">
    <w:abstractNumId w:val="23"/>
  </w:num>
  <w:num w:numId="29" w16cid:durableId="1014715">
    <w:abstractNumId w:val="1"/>
  </w:num>
  <w:num w:numId="30" w16cid:durableId="1138720618">
    <w:abstractNumId w:val="24"/>
  </w:num>
  <w:num w:numId="31" w16cid:durableId="203686304">
    <w:abstractNumId w:val="29"/>
  </w:num>
  <w:num w:numId="32" w16cid:durableId="1568031332">
    <w:abstractNumId w:val="12"/>
  </w:num>
  <w:num w:numId="33" w16cid:durableId="734276382">
    <w:abstractNumId w:val="17"/>
  </w:num>
  <w:num w:numId="34" w16cid:durableId="1240334609">
    <w:abstractNumId w:val="3"/>
  </w:num>
  <w:num w:numId="35" w16cid:durableId="737630804">
    <w:abstractNumId w:val="35"/>
  </w:num>
  <w:num w:numId="36" w16cid:durableId="120535811">
    <w:abstractNumId w:val="10"/>
  </w:num>
  <w:num w:numId="37" w16cid:durableId="903953297">
    <w:abstractNumId w:val="11"/>
  </w:num>
  <w:num w:numId="38" w16cid:durableId="90691488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25"/>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1A"/>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2102412.2022.20276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956C14-0AED-499A-80AC-916C15EF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2023-01-21T23:17:00Z</dcterms:created>
  <dcterms:modified xsi:type="dcterms:W3CDTF">2023-01-21T23:17:00Z</dcterms:modified>
</cp:coreProperties>
</file>