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B1FB8" w14:textId="4E41FD85" w:rsidR="00A65985" w:rsidRPr="00A65985" w:rsidRDefault="00A65985" w:rsidP="00A65985">
      <w:pPr>
        <w:keepNext/>
        <w:framePr w:dropCap="drop" w:lines="3" w:wrap="around" w:vAnchor="text" w:hAnchor="text"/>
        <w:spacing w:after="0" w:line="926" w:lineRule="exact"/>
        <w:textAlignment w:val="baseline"/>
        <w:rPr>
          <w:position w:val="-7"/>
          <w:sz w:val="120"/>
          <w:lang w:val="en-US"/>
        </w:rPr>
      </w:pPr>
      <w:r w:rsidRPr="00A65985">
        <w:rPr>
          <w:position w:val="-7"/>
          <w:sz w:val="120"/>
          <w:lang w:val="en-US"/>
        </w:rPr>
        <w:t>S</w:t>
      </w:r>
    </w:p>
    <w:p w14:paraId="27D23CE0" w14:textId="44EC147E" w:rsidR="0067306C" w:rsidRDefault="00A65985" w:rsidP="00642A70">
      <w:r w:rsidRPr="00A65985">
        <w:rPr>
          <w:lang w:val="en-US"/>
        </w:rPr>
        <w:t xml:space="preserve">egún </w:t>
      </w:r>
      <w:proofErr w:type="spellStart"/>
      <w:r w:rsidRPr="00A65985">
        <w:rPr>
          <w:lang w:val="en-US"/>
        </w:rPr>
        <w:t>sostiene</w:t>
      </w:r>
      <w:r w:rsidR="0067306C">
        <w:rPr>
          <w:lang w:val="en-US"/>
        </w:rPr>
        <w:t>n</w:t>
      </w:r>
      <w:proofErr w:type="spellEnd"/>
      <w:r w:rsidRPr="00A65985">
        <w:rPr>
          <w:lang w:val="en-US"/>
        </w:rPr>
        <w:t xml:space="preserve"> Salehi, M., </w:t>
      </w:r>
      <w:proofErr w:type="spellStart"/>
      <w:r w:rsidRPr="00A65985">
        <w:rPr>
          <w:lang w:val="en-US"/>
        </w:rPr>
        <w:t>Asadian</w:t>
      </w:r>
      <w:proofErr w:type="spellEnd"/>
      <w:r w:rsidRPr="00A65985">
        <w:rPr>
          <w:lang w:val="en-US"/>
        </w:rPr>
        <w:t xml:space="preserve">, A., &amp; </w:t>
      </w:r>
      <w:proofErr w:type="spellStart"/>
      <w:r w:rsidRPr="00A65985">
        <w:rPr>
          <w:lang w:val="en-US"/>
        </w:rPr>
        <w:t>Khansalar</w:t>
      </w:r>
      <w:proofErr w:type="spellEnd"/>
      <w:r w:rsidRPr="00A65985">
        <w:rPr>
          <w:lang w:val="en-US"/>
        </w:rPr>
        <w:t>, E. (2023),</w:t>
      </w:r>
      <w:r>
        <w:rPr>
          <w:lang w:val="en-US"/>
        </w:rPr>
        <w:t xml:space="preserve">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sidRPr="00A65985">
        <w:rPr>
          <w:lang w:val="en-US"/>
        </w:rPr>
        <w:t xml:space="preserve"> </w:t>
      </w:r>
      <w:r w:rsidR="00000000">
        <w:fldChar w:fldCharType="begin"/>
      </w:r>
      <w:r w:rsidR="00000000" w:rsidRPr="00AA69E1">
        <w:rPr>
          <w:lang w:val="en-US"/>
        </w:rPr>
        <w:instrText>HYPERLINK "https://doi.org/10.1108/ARJ-07-2020-0217"</w:instrText>
      </w:r>
      <w:r w:rsidR="00000000">
        <w:fldChar w:fldCharType="separate"/>
      </w:r>
      <w:r w:rsidRPr="00A65985">
        <w:rPr>
          <w:rStyle w:val="Hyperlink"/>
          <w:i/>
          <w:iCs/>
          <w:lang w:val="en-US"/>
        </w:rPr>
        <w:t>The effect of intellectual capital on audit fees stickiness</w:t>
      </w:r>
      <w:r w:rsidR="00000000">
        <w:rPr>
          <w:rStyle w:val="Hyperlink"/>
          <w:i/>
          <w:iCs/>
          <w:lang w:val="en-US"/>
        </w:rPr>
        <w:fldChar w:fldCharType="end"/>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sidRPr="00A65985">
        <w:rPr>
          <w:lang w:val="en-US"/>
        </w:rPr>
        <w:t xml:space="preserve"> </w:t>
      </w:r>
      <w:r w:rsidRPr="00A65985">
        <w:rPr>
          <w:i/>
          <w:iCs/>
          <w:lang w:val="en-US"/>
        </w:rPr>
        <w:t>Accounting Research Journal</w:t>
      </w:r>
      <w:r w:rsidRPr="00A65985">
        <w:rPr>
          <w:lang w:val="en-US"/>
        </w:rPr>
        <w:t>, 36(1), 55-76</w:t>
      </w:r>
      <w:r>
        <w:rPr>
          <w:lang w:val="en-US"/>
        </w:rPr>
        <w:t>:</w:t>
      </w:r>
      <w:r w:rsidRPr="00A65985">
        <w:rPr>
          <w:lang w:val="en-US"/>
        </w:rPr>
        <w:t xml:space="preserve"> </w:t>
      </w:r>
      <w:r w:rsidR="005618CD" w:rsidRPr="00A65985">
        <w:rPr>
          <w:lang w:val="en-US"/>
        </w:rPr>
        <w:t>“</w:t>
      </w:r>
      <w:r w:rsidR="005618CD" w:rsidRPr="00A65985">
        <w:rPr>
          <w:i/>
          <w:iCs/>
          <w:lang w:val="en-US"/>
        </w:rPr>
        <w:t>Conclusion</w:t>
      </w:r>
      <w:r w:rsidRPr="00A65985">
        <w:rPr>
          <w:i/>
          <w:iCs/>
          <w:lang w:val="en-US"/>
        </w:rPr>
        <w:t xml:space="preserve"> </w:t>
      </w:r>
      <w:r w:rsidR="005618CD" w:rsidRPr="00A65985">
        <w:rPr>
          <w:i/>
          <w:iCs/>
          <w:lang w:val="en-US"/>
        </w:rPr>
        <w:t>The findings of this paper shed more light on the literature body of IC</w:t>
      </w:r>
      <w:r>
        <w:rPr>
          <w:rStyle w:val="FootnoteReference"/>
          <w:i/>
          <w:iCs/>
          <w:lang w:val="en-US"/>
        </w:rPr>
        <w:footnoteReference w:id="1"/>
      </w:r>
      <w:r w:rsidR="005618CD" w:rsidRPr="00A65985">
        <w:rPr>
          <w:i/>
          <w:iCs/>
          <w:lang w:val="en-US"/>
        </w:rPr>
        <w:t xml:space="preserve"> and agency theory</w:t>
      </w:r>
      <w:r w:rsidRPr="00A65985">
        <w:rPr>
          <w:i/>
          <w:iCs/>
          <w:lang w:val="en-US"/>
        </w:rPr>
        <w:t xml:space="preserve"> </w:t>
      </w:r>
      <w:r w:rsidR="005618CD" w:rsidRPr="00A65985">
        <w:rPr>
          <w:i/>
          <w:iCs/>
          <w:lang w:val="en-US"/>
        </w:rPr>
        <w:t>approaches. According to the findings of this paper, we provide some contributions in terms of</w:t>
      </w:r>
      <w:r w:rsidRPr="00A65985">
        <w:rPr>
          <w:i/>
          <w:iCs/>
          <w:lang w:val="en-US"/>
        </w:rPr>
        <w:t xml:space="preserve"> </w:t>
      </w:r>
      <w:r w:rsidR="005618CD" w:rsidRPr="00A65985">
        <w:rPr>
          <w:i/>
          <w:iCs/>
          <w:lang w:val="en-US"/>
        </w:rPr>
        <w:t>academics and practices. Academically, we have established a link between ICCs and AFS</w:t>
      </w:r>
      <w:r>
        <w:rPr>
          <w:rStyle w:val="FootnoteReference"/>
          <w:i/>
          <w:iCs/>
          <w:lang w:val="en-US"/>
        </w:rPr>
        <w:footnoteReference w:id="2"/>
      </w:r>
      <w:r w:rsidR="005618CD" w:rsidRPr="00A65985">
        <w:rPr>
          <w:i/>
          <w:iCs/>
          <w:lang w:val="en-US"/>
        </w:rPr>
        <w:t xml:space="preserve"> for the</w:t>
      </w:r>
      <w:r w:rsidRPr="00A65985">
        <w:rPr>
          <w:i/>
          <w:iCs/>
          <w:lang w:val="en-US"/>
        </w:rPr>
        <w:t xml:space="preserve"> </w:t>
      </w:r>
      <w:r w:rsidR="005618CD" w:rsidRPr="00A65985">
        <w:rPr>
          <w:i/>
          <w:iCs/>
          <w:lang w:val="en-US"/>
        </w:rPr>
        <w:t>first time, which provides future researchers with a basis for exploring the determinants of AFS,</w:t>
      </w:r>
      <w:r w:rsidRPr="00A65985">
        <w:rPr>
          <w:i/>
          <w:iCs/>
          <w:lang w:val="en-US"/>
        </w:rPr>
        <w:t xml:space="preserve"> </w:t>
      </w:r>
      <w:r w:rsidR="005618CD" w:rsidRPr="00A65985">
        <w:rPr>
          <w:i/>
          <w:iCs/>
          <w:lang w:val="en-US"/>
        </w:rPr>
        <w:t>such as corporate social responsibility. Practically, the firms’ authorities might use our results to</w:t>
      </w:r>
      <w:r w:rsidRPr="00A65985">
        <w:rPr>
          <w:i/>
          <w:iCs/>
          <w:lang w:val="en-US"/>
        </w:rPr>
        <w:t xml:space="preserve"> </w:t>
      </w:r>
      <w:r w:rsidR="005618CD" w:rsidRPr="00A65985">
        <w:rPr>
          <w:i/>
          <w:iCs/>
          <w:lang w:val="en-US"/>
        </w:rPr>
        <w:t>improve the ICE</w:t>
      </w:r>
      <w:r w:rsidR="003E1E2C">
        <w:rPr>
          <w:rStyle w:val="FootnoteReference"/>
          <w:i/>
          <w:iCs/>
          <w:lang w:val="en-US"/>
        </w:rPr>
        <w:footnoteReference w:id="3"/>
      </w:r>
      <w:r w:rsidR="005618CD" w:rsidRPr="00A65985">
        <w:rPr>
          <w:i/>
          <w:iCs/>
          <w:lang w:val="en-US"/>
        </w:rPr>
        <w:t xml:space="preserve"> and its components to mitigate their business risk (agency cost) and improve</w:t>
      </w:r>
      <w:r w:rsidRPr="00A65985">
        <w:rPr>
          <w:i/>
          <w:iCs/>
          <w:lang w:val="en-US"/>
        </w:rPr>
        <w:t xml:space="preserve"> </w:t>
      </w:r>
      <w:r w:rsidR="005618CD" w:rsidRPr="00A65985">
        <w:rPr>
          <w:i/>
          <w:iCs/>
          <w:lang w:val="en-US"/>
        </w:rPr>
        <w:t>their business performance, which may contribute to the outcome of audit work. For example,</w:t>
      </w:r>
      <w:r w:rsidRPr="00A65985">
        <w:rPr>
          <w:i/>
          <w:iCs/>
          <w:lang w:val="en-US"/>
        </w:rPr>
        <w:t xml:space="preserve"> </w:t>
      </w:r>
      <w:r w:rsidR="005618CD" w:rsidRPr="00A65985">
        <w:rPr>
          <w:i/>
          <w:iCs/>
          <w:lang w:val="en-US"/>
        </w:rPr>
        <w:t>HCE</w:t>
      </w:r>
      <w:r w:rsidR="003E1E2C">
        <w:rPr>
          <w:rStyle w:val="FootnoteReference"/>
          <w:i/>
          <w:iCs/>
          <w:lang w:val="en-US"/>
        </w:rPr>
        <w:footnoteReference w:id="4"/>
      </w:r>
      <w:r w:rsidR="005618CD" w:rsidRPr="00A65985">
        <w:rPr>
          <w:i/>
          <w:iCs/>
          <w:lang w:val="en-US"/>
        </w:rPr>
        <w:t xml:space="preserve"> is likely to improve firm performance by promoting the staff’s knowledge and skills (Schultz,1961); Additively, making customers loyal to companies might also provide some competitive</w:t>
      </w:r>
      <w:r w:rsidRPr="00A65985">
        <w:rPr>
          <w:i/>
          <w:iCs/>
          <w:lang w:val="en-US"/>
        </w:rPr>
        <w:t xml:space="preserve"> </w:t>
      </w:r>
      <w:r w:rsidR="005618CD" w:rsidRPr="00A65985">
        <w:rPr>
          <w:i/>
          <w:iCs/>
          <w:lang w:val="en-US"/>
        </w:rPr>
        <w:t>advantages for them, resulting in improved performance of companies (Martín et al., 2006) and</w:t>
      </w:r>
      <w:r w:rsidRPr="00A65985">
        <w:rPr>
          <w:i/>
          <w:iCs/>
          <w:lang w:val="en-US"/>
        </w:rPr>
        <w:t xml:space="preserve"> </w:t>
      </w:r>
      <w:r w:rsidR="005618CD" w:rsidRPr="00A65985">
        <w:rPr>
          <w:i/>
          <w:iCs/>
          <w:lang w:val="en-US"/>
        </w:rPr>
        <w:t xml:space="preserve">sustainable audit pricing </w:t>
      </w:r>
      <w:r w:rsidRPr="00A65985">
        <w:rPr>
          <w:i/>
          <w:iCs/>
          <w:lang w:val="en-US"/>
        </w:rPr>
        <w:t>behaviors</w:t>
      </w:r>
      <w:r w:rsidR="005618CD" w:rsidRPr="00A65985">
        <w:rPr>
          <w:i/>
          <w:iCs/>
          <w:lang w:val="en-US"/>
        </w:rPr>
        <w:t>. For auditors, we propose that the ICE level might be</w:t>
      </w:r>
      <w:r w:rsidRPr="00A65985">
        <w:rPr>
          <w:i/>
          <w:iCs/>
          <w:lang w:val="en-US"/>
        </w:rPr>
        <w:t xml:space="preserve"> </w:t>
      </w:r>
      <w:r w:rsidR="005618CD" w:rsidRPr="00A65985">
        <w:rPr>
          <w:i/>
          <w:iCs/>
          <w:lang w:val="en-US"/>
        </w:rPr>
        <w:t>considered an indicative measure to evaluate the business risk. This may help them predict and</w:t>
      </w:r>
      <w:r w:rsidRPr="00A65985">
        <w:rPr>
          <w:i/>
          <w:iCs/>
          <w:lang w:val="en-US"/>
        </w:rPr>
        <w:t xml:space="preserve"> </w:t>
      </w:r>
      <w:r w:rsidR="005618CD" w:rsidRPr="00A65985">
        <w:rPr>
          <w:i/>
          <w:iCs/>
          <w:lang w:val="en-US"/>
        </w:rPr>
        <w:t>assign more effectively at the programming stage and suggest a fair and sustainable audit fee.</w:t>
      </w:r>
      <w:r w:rsidRPr="00A65985">
        <w:rPr>
          <w:i/>
          <w:iCs/>
          <w:lang w:val="en-US"/>
        </w:rPr>
        <w:t xml:space="preserve"> </w:t>
      </w:r>
      <w:r w:rsidR="005618CD" w:rsidRPr="00A65985">
        <w:rPr>
          <w:i/>
          <w:iCs/>
          <w:lang w:val="en-US"/>
        </w:rPr>
        <w:t>This may also help auditors to improve their market position by maintaining existing and</w:t>
      </w:r>
      <w:r w:rsidRPr="00A65985">
        <w:rPr>
          <w:i/>
          <w:iCs/>
          <w:lang w:val="en-US"/>
        </w:rPr>
        <w:t xml:space="preserve"> </w:t>
      </w:r>
      <w:r w:rsidR="005618CD" w:rsidRPr="00A65985">
        <w:rPr>
          <w:i/>
          <w:iCs/>
          <w:lang w:val="en-US"/>
        </w:rPr>
        <w:t xml:space="preserve">increasing potential clients. Finally, CEOs may </w:t>
      </w:r>
      <w:r w:rsidR="005618CD" w:rsidRPr="00A65985">
        <w:rPr>
          <w:i/>
          <w:iCs/>
          <w:lang w:val="en-US"/>
        </w:rPr>
        <w:t>decrease the auditing cost by employing</w:t>
      </w:r>
      <w:r w:rsidRPr="00A65985">
        <w:rPr>
          <w:i/>
          <w:iCs/>
          <w:lang w:val="en-US"/>
        </w:rPr>
        <w:t xml:space="preserve"> specialized</w:t>
      </w:r>
      <w:r w:rsidR="005618CD" w:rsidRPr="00A65985">
        <w:rPr>
          <w:i/>
          <w:iCs/>
          <w:lang w:val="en-US"/>
        </w:rPr>
        <w:t xml:space="preserve"> auditors. </w:t>
      </w:r>
      <w:proofErr w:type="spellStart"/>
      <w:r w:rsidR="005618CD" w:rsidRPr="0067306C">
        <w:rPr>
          <w:i/>
          <w:iCs/>
        </w:rPr>
        <w:t>Since</w:t>
      </w:r>
      <w:proofErr w:type="spellEnd"/>
      <w:r w:rsidR="005618CD" w:rsidRPr="0067306C">
        <w:rPr>
          <w:i/>
          <w:iCs/>
        </w:rPr>
        <w:t xml:space="preserve"> </w:t>
      </w:r>
      <w:proofErr w:type="spellStart"/>
      <w:r w:rsidRPr="0067306C">
        <w:rPr>
          <w:i/>
          <w:iCs/>
        </w:rPr>
        <w:t>specialized</w:t>
      </w:r>
      <w:proofErr w:type="spellEnd"/>
      <w:r w:rsidR="005618CD" w:rsidRPr="0067306C">
        <w:rPr>
          <w:i/>
          <w:iCs/>
        </w:rPr>
        <w:t xml:space="preserve"> </w:t>
      </w:r>
      <w:proofErr w:type="spellStart"/>
      <w:r w:rsidR="005618CD" w:rsidRPr="0067306C">
        <w:rPr>
          <w:i/>
          <w:iCs/>
        </w:rPr>
        <w:t>auditors</w:t>
      </w:r>
      <w:proofErr w:type="spellEnd"/>
      <w:r w:rsidR="005618CD" w:rsidRPr="0067306C">
        <w:rPr>
          <w:i/>
          <w:iCs/>
        </w:rPr>
        <w:t xml:space="preserve"> </w:t>
      </w:r>
      <w:proofErr w:type="spellStart"/>
      <w:r w:rsidR="005618CD" w:rsidRPr="0067306C">
        <w:rPr>
          <w:i/>
          <w:iCs/>
        </w:rPr>
        <w:t>have</w:t>
      </w:r>
      <w:proofErr w:type="spellEnd"/>
      <w:r w:rsidR="005618CD" w:rsidRPr="0067306C">
        <w:rPr>
          <w:i/>
          <w:iCs/>
        </w:rPr>
        <w:t xml:space="preserve"> a </w:t>
      </w:r>
      <w:proofErr w:type="spellStart"/>
      <w:r w:rsidR="005618CD" w:rsidRPr="0067306C">
        <w:rPr>
          <w:i/>
          <w:iCs/>
        </w:rPr>
        <w:t>deeper</w:t>
      </w:r>
      <w:proofErr w:type="spellEnd"/>
      <w:r w:rsidR="005618CD" w:rsidRPr="0067306C">
        <w:rPr>
          <w:i/>
          <w:iCs/>
        </w:rPr>
        <w:t xml:space="preserve"> </w:t>
      </w:r>
      <w:proofErr w:type="spellStart"/>
      <w:r w:rsidR="005618CD" w:rsidRPr="0067306C">
        <w:rPr>
          <w:i/>
          <w:iCs/>
        </w:rPr>
        <w:t>comprehension</w:t>
      </w:r>
      <w:proofErr w:type="spellEnd"/>
      <w:r w:rsidR="005618CD" w:rsidRPr="0067306C">
        <w:rPr>
          <w:i/>
          <w:iCs/>
        </w:rPr>
        <w:t xml:space="preserve"> </w:t>
      </w:r>
      <w:proofErr w:type="spellStart"/>
      <w:r w:rsidR="005618CD" w:rsidRPr="0067306C">
        <w:rPr>
          <w:i/>
          <w:iCs/>
        </w:rPr>
        <w:t>of</w:t>
      </w:r>
      <w:proofErr w:type="spellEnd"/>
      <w:r w:rsidR="005618CD" w:rsidRPr="0067306C">
        <w:rPr>
          <w:i/>
          <w:iCs/>
        </w:rPr>
        <w:t xml:space="preserve"> a </w:t>
      </w:r>
      <w:proofErr w:type="spellStart"/>
      <w:r w:rsidR="005618CD" w:rsidRPr="0067306C">
        <w:rPr>
          <w:i/>
          <w:iCs/>
        </w:rPr>
        <w:t>given</w:t>
      </w:r>
      <w:proofErr w:type="spellEnd"/>
      <w:r w:rsidR="005618CD" w:rsidRPr="0067306C">
        <w:rPr>
          <w:i/>
          <w:iCs/>
        </w:rPr>
        <w:t xml:space="preserve"> </w:t>
      </w:r>
      <w:proofErr w:type="spellStart"/>
      <w:r w:rsidR="005618CD" w:rsidRPr="0067306C">
        <w:rPr>
          <w:i/>
          <w:iCs/>
        </w:rPr>
        <w:t>industry</w:t>
      </w:r>
      <w:proofErr w:type="spellEnd"/>
      <w:r w:rsidR="005618CD" w:rsidRPr="0067306C">
        <w:rPr>
          <w:i/>
          <w:iCs/>
        </w:rPr>
        <w:t>,</w:t>
      </w:r>
      <w:r w:rsidRPr="0067306C">
        <w:rPr>
          <w:i/>
          <w:iCs/>
        </w:rPr>
        <w:t xml:space="preserve"> </w:t>
      </w:r>
      <w:proofErr w:type="spellStart"/>
      <w:r w:rsidR="005618CD" w:rsidRPr="0067306C">
        <w:rPr>
          <w:i/>
          <w:iCs/>
        </w:rPr>
        <w:t>they</w:t>
      </w:r>
      <w:proofErr w:type="spellEnd"/>
      <w:r w:rsidR="005618CD" w:rsidRPr="0067306C">
        <w:rPr>
          <w:i/>
          <w:iCs/>
        </w:rPr>
        <w:t xml:space="preserve"> </w:t>
      </w:r>
      <w:proofErr w:type="spellStart"/>
      <w:r w:rsidR="005618CD" w:rsidRPr="0067306C">
        <w:rPr>
          <w:i/>
          <w:iCs/>
        </w:rPr>
        <w:t>may</w:t>
      </w:r>
      <w:proofErr w:type="spellEnd"/>
      <w:r w:rsidR="005618CD" w:rsidRPr="0067306C">
        <w:rPr>
          <w:i/>
          <w:iCs/>
        </w:rPr>
        <w:t xml:space="preserve"> </w:t>
      </w:r>
      <w:proofErr w:type="spellStart"/>
      <w:r w:rsidR="005618CD" w:rsidRPr="0067306C">
        <w:rPr>
          <w:i/>
          <w:iCs/>
        </w:rPr>
        <w:t>charge</w:t>
      </w:r>
      <w:proofErr w:type="spellEnd"/>
      <w:r w:rsidR="005618CD" w:rsidRPr="0067306C">
        <w:rPr>
          <w:i/>
          <w:iCs/>
        </w:rPr>
        <w:t xml:space="preserve"> </w:t>
      </w:r>
      <w:proofErr w:type="spellStart"/>
      <w:r w:rsidR="005618CD" w:rsidRPr="0067306C">
        <w:rPr>
          <w:i/>
          <w:iCs/>
        </w:rPr>
        <w:t>lower</w:t>
      </w:r>
      <w:proofErr w:type="spellEnd"/>
      <w:r w:rsidR="005618CD" w:rsidRPr="0067306C">
        <w:rPr>
          <w:i/>
          <w:iCs/>
        </w:rPr>
        <w:t xml:space="preserve"> fees </w:t>
      </w:r>
      <w:proofErr w:type="spellStart"/>
      <w:r w:rsidR="005618CD" w:rsidRPr="0067306C">
        <w:rPr>
          <w:i/>
          <w:iCs/>
        </w:rPr>
        <w:t>to</w:t>
      </w:r>
      <w:proofErr w:type="spellEnd"/>
      <w:r w:rsidR="005618CD" w:rsidRPr="0067306C">
        <w:rPr>
          <w:i/>
          <w:iCs/>
        </w:rPr>
        <w:t xml:space="preserve"> </w:t>
      </w:r>
      <w:proofErr w:type="spellStart"/>
      <w:r w:rsidR="005618CD" w:rsidRPr="0067306C">
        <w:rPr>
          <w:i/>
          <w:iCs/>
        </w:rPr>
        <w:t>their</w:t>
      </w:r>
      <w:proofErr w:type="spellEnd"/>
      <w:r w:rsidR="005618CD" w:rsidRPr="0067306C">
        <w:rPr>
          <w:i/>
          <w:iCs/>
        </w:rPr>
        <w:t xml:space="preserve"> </w:t>
      </w:r>
      <w:proofErr w:type="spellStart"/>
      <w:r w:rsidR="005618CD" w:rsidRPr="0067306C">
        <w:rPr>
          <w:i/>
          <w:iCs/>
        </w:rPr>
        <w:t>client</w:t>
      </w:r>
      <w:proofErr w:type="spellEnd"/>
      <w:r w:rsidR="005618CD" w:rsidRPr="0067306C">
        <w:rPr>
          <w:i/>
          <w:iCs/>
        </w:rPr>
        <w:t xml:space="preserve"> </w:t>
      </w:r>
      <w:proofErr w:type="spellStart"/>
      <w:r w:rsidR="005618CD" w:rsidRPr="0067306C">
        <w:rPr>
          <w:i/>
          <w:iCs/>
        </w:rPr>
        <w:t>firms</w:t>
      </w:r>
      <w:proofErr w:type="spellEnd"/>
      <w:r w:rsidR="005618CD" w:rsidRPr="0067306C">
        <w:t>”</w:t>
      </w:r>
      <w:r w:rsidR="0067306C" w:rsidRPr="0067306C">
        <w:t xml:space="preserve"> En otras ocasiones hemos sostenido que el principal activ</w:t>
      </w:r>
      <w:r w:rsidR="0067306C">
        <w:t>o</w:t>
      </w:r>
      <w:r w:rsidR="0067306C" w:rsidRPr="0067306C">
        <w:t xml:space="preserve"> de una empresa es la organización, es decir, el conjunto de pers</w:t>
      </w:r>
      <w:r w:rsidR="0067306C">
        <w:t>onas que trabaja en ella, siguiendo reglas como las leyes y estatutos correspondientes, las políticas de los dueños y las de los principales administradores, las órdenes de los superiores. El capital intelectual es capaz de influir en una mejor gobernanza, en un control interno más adecuado, en mayor eficiencia en las operaciones. Por consiguiente, en el marco de una estrategia de auditoría basada en r</w:t>
      </w:r>
      <w:r w:rsidR="00D324D1">
        <w:t>iesgos, los auditores tendrían que efectuar menos pruebas sustantivas, lo cual podría concretarse en cobrar honorarios inferiores.</w:t>
      </w:r>
      <w:r w:rsidR="00663553">
        <w:t xml:space="preserve"> Entendemos que esto será </w:t>
      </w:r>
      <w:r w:rsidR="003F2E87">
        <w:t>así</w:t>
      </w:r>
      <w:r w:rsidR="00663553">
        <w:t xml:space="preserve"> en las culturas en las cuales el cliente sea dominante, de manera que se le trasladará toda ventaja. Seguramente en Colombia varias firmas de contadores no reducirán sus honorarios por obtener una reducción en sus costos, únicamente lo harían si el precio pedido por un competidor amenazare perder un negocio.</w:t>
      </w:r>
      <w:r w:rsidR="0027109A">
        <w:t xml:space="preserve"> Desde otro punto de vista, la formación de equipos de trabajo por un auditor procurando elegir personas altamente especializadas también le ayudará a bajar los costos porque su conocimiento personal evitará que tengan que adquirir muchos datos. </w:t>
      </w:r>
    </w:p>
    <w:p w14:paraId="6A9DFBC7" w14:textId="0315D7C4" w:rsidR="0027109A" w:rsidRPr="0067306C" w:rsidRDefault="0027109A" w:rsidP="0027109A">
      <w:pPr>
        <w:jc w:val="right"/>
      </w:pPr>
      <w:r w:rsidRPr="003C4ED4">
        <w:rPr>
          <w:i/>
          <w:iCs/>
        </w:rPr>
        <w:t>Hernando Bermúdez Gómez</w:t>
      </w:r>
    </w:p>
    <w:sectPr w:rsidR="0027109A" w:rsidRPr="0067306C"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67CF7" w14:textId="77777777" w:rsidR="008A328E" w:rsidRDefault="008A328E" w:rsidP="00EE7812">
      <w:pPr>
        <w:spacing w:after="0" w:line="240" w:lineRule="auto"/>
      </w:pPr>
      <w:r>
        <w:separator/>
      </w:r>
    </w:p>
  </w:endnote>
  <w:endnote w:type="continuationSeparator" w:id="0">
    <w:p w14:paraId="528CDD58" w14:textId="77777777" w:rsidR="008A328E" w:rsidRDefault="008A328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68E52" w14:textId="77777777" w:rsidR="008A328E" w:rsidRDefault="008A328E" w:rsidP="00EE7812">
      <w:pPr>
        <w:spacing w:after="0" w:line="240" w:lineRule="auto"/>
      </w:pPr>
      <w:r>
        <w:separator/>
      </w:r>
    </w:p>
  </w:footnote>
  <w:footnote w:type="continuationSeparator" w:id="0">
    <w:p w14:paraId="6C58971F" w14:textId="77777777" w:rsidR="008A328E" w:rsidRDefault="008A328E" w:rsidP="00EE7812">
      <w:pPr>
        <w:spacing w:after="0" w:line="240" w:lineRule="auto"/>
      </w:pPr>
      <w:r>
        <w:continuationSeparator/>
      </w:r>
    </w:p>
  </w:footnote>
  <w:footnote w:id="1">
    <w:p w14:paraId="1E9D6659" w14:textId="6A04DD36" w:rsidR="00A65985" w:rsidRPr="00AA69E1" w:rsidRDefault="00A65985" w:rsidP="0067306C">
      <w:pPr>
        <w:pStyle w:val="NoSpacing"/>
        <w:rPr>
          <w:sz w:val="16"/>
          <w:szCs w:val="16"/>
          <w:lang w:val="en-US"/>
        </w:rPr>
      </w:pPr>
      <w:r w:rsidRPr="0067306C">
        <w:rPr>
          <w:rStyle w:val="FootnoteReference"/>
          <w:sz w:val="16"/>
          <w:szCs w:val="16"/>
        </w:rPr>
        <w:footnoteRef/>
      </w:r>
      <w:r w:rsidRPr="00AA69E1">
        <w:rPr>
          <w:sz w:val="16"/>
          <w:szCs w:val="16"/>
          <w:lang w:val="en-US"/>
        </w:rPr>
        <w:t xml:space="preserve"> </w:t>
      </w:r>
      <w:r w:rsidR="00417BD6" w:rsidRPr="00AA69E1">
        <w:rPr>
          <w:sz w:val="16"/>
          <w:szCs w:val="16"/>
          <w:lang w:val="en-US"/>
        </w:rPr>
        <w:t>I</w:t>
      </w:r>
      <w:r w:rsidRPr="00AA69E1">
        <w:rPr>
          <w:sz w:val="16"/>
          <w:szCs w:val="16"/>
          <w:lang w:val="en-US"/>
        </w:rPr>
        <w:t>ntellectual capital</w:t>
      </w:r>
    </w:p>
  </w:footnote>
  <w:footnote w:id="2">
    <w:p w14:paraId="2601E674" w14:textId="19CA883A" w:rsidR="00A65985" w:rsidRPr="00AA69E1" w:rsidRDefault="00A65985" w:rsidP="0067306C">
      <w:pPr>
        <w:pStyle w:val="NoSpacing"/>
        <w:rPr>
          <w:sz w:val="16"/>
          <w:szCs w:val="16"/>
          <w:lang w:val="en-US"/>
        </w:rPr>
      </w:pPr>
      <w:r w:rsidRPr="0067306C">
        <w:rPr>
          <w:rStyle w:val="FootnoteReference"/>
          <w:sz w:val="16"/>
          <w:szCs w:val="16"/>
        </w:rPr>
        <w:footnoteRef/>
      </w:r>
      <w:r w:rsidRPr="00AA69E1">
        <w:rPr>
          <w:sz w:val="16"/>
          <w:szCs w:val="16"/>
          <w:lang w:val="en-US"/>
        </w:rPr>
        <w:t xml:space="preserve"> Audit fee stickiness</w:t>
      </w:r>
    </w:p>
  </w:footnote>
  <w:footnote w:id="3">
    <w:p w14:paraId="4114425D" w14:textId="00407941" w:rsidR="003E1E2C" w:rsidRPr="00AA69E1" w:rsidRDefault="003E1E2C" w:rsidP="0067306C">
      <w:pPr>
        <w:pStyle w:val="NoSpacing"/>
        <w:rPr>
          <w:sz w:val="16"/>
          <w:szCs w:val="16"/>
          <w:lang w:val="en-US"/>
        </w:rPr>
      </w:pPr>
      <w:r w:rsidRPr="0067306C">
        <w:rPr>
          <w:rStyle w:val="FootnoteReference"/>
          <w:sz w:val="16"/>
          <w:szCs w:val="16"/>
        </w:rPr>
        <w:footnoteRef/>
      </w:r>
      <w:r w:rsidRPr="00AA69E1">
        <w:rPr>
          <w:sz w:val="16"/>
          <w:szCs w:val="16"/>
          <w:lang w:val="en-US"/>
        </w:rPr>
        <w:t xml:space="preserve"> Intellectual capital efficiency</w:t>
      </w:r>
    </w:p>
  </w:footnote>
  <w:footnote w:id="4">
    <w:p w14:paraId="57567008" w14:textId="6EE4CADF" w:rsidR="003E1E2C" w:rsidRPr="0067306C" w:rsidRDefault="003E1E2C" w:rsidP="0067306C">
      <w:pPr>
        <w:pStyle w:val="NoSpacing"/>
        <w:rPr>
          <w:sz w:val="16"/>
          <w:szCs w:val="16"/>
        </w:rPr>
      </w:pPr>
      <w:r w:rsidRPr="0067306C">
        <w:rPr>
          <w:rStyle w:val="FootnoteReference"/>
          <w:sz w:val="16"/>
          <w:szCs w:val="16"/>
        </w:rPr>
        <w:footnoteRef/>
      </w:r>
      <w:r w:rsidRPr="0067306C">
        <w:rPr>
          <w:sz w:val="16"/>
          <w:szCs w:val="16"/>
        </w:rPr>
        <w:t xml:space="preserve"> Human capital </w:t>
      </w:r>
      <w:proofErr w:type="spellStart"/>
      <w:r w:rsidRPr="0067306C">
        <w:rPr>
          <w:sz w:val="16"/>
          <w:szCs w:val="16"/>
        </w:rPr>
        <w:t>efficiency</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58A25E25"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14372C">
      <w:t>5</w:t>
    </w:r>
    <w:r w:rsidR="00C26BBC">
      <w:t>7</w:t>
    </w:r>
    <w:r>
      <w:t>,</w:t>
    </w:r>
    <w:r w:rsidR="001E23A5">
      <w:t xml:space="preserve"> </w:t>
    </w:r>
    <w:r w:rsidR="00937C9C">
      <w:t>20</w:t>
    </w:r>
    <w:r w:rsidR="001E23A5">
      <w:t xml:space="preserve"> </w:t>
    </w:r>
    <w:r w:rsidR="009365CF">
      <w:t>de</w:t>
    </w:r>
    <w:r w:rsidR="001E23A5">
      <w:t xml:space="preserve"> </w:t>
    </w:r>
    <w:r w:rsidR="00165ACF">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55916379">
    <w:abstractNumId w:val="0"/>
  </w:num>
  <w:num w:numId="2" w16cid:durableId="1283538734">
    <w:abstractNumId w:val="21"/>
  </w:num>
  <w:num w:numId="3" w16cid:durableId="590894705">
    <w:abstractNumId w:val="15"/>
  </w:num>
  <w:num w:numId="4" w16cid:durableId="1200707995">
    <w:abstractNumId w:val="2"/>
  </w:num>
  <w:num w:numId="5" w16cid:durableId="1560247804">
    <w:abstractNumId w:val="20"/>
  </w:num>
  <w:num w:numId="6" w16cid:durableId="921567594">
    <w:abstractNumId w:val="35"/>
  </w:num>
  <w:num w:numId="7" w16cid:durableId="1353218947">
    <w:abstractNumId w:val="13"/>
  </w:num>
  <w:num w:numId="8" w16cid:durableId="2001229649">
    <w:abstractNumId w:val="33"/>
  </w:num>
  <w:num w:numId="9" w16cid:durableId="384107729">
    <w:abstractNumId w:val="38"/>
  </w:num>
  <w:num w:numId="10" w16cid:durableId="1910067823">
    <w:abstractNumId w:val="4"/>
  </w:num>
  <w:num w:numId="11" w16cid:durableId="494150033">
    <w:abstractNumId w:val="6"/>
  </w:num>
  <w:num w:numId="12" w16cid:durableId="289166898">
    <w:abstractNumId w:val="19"/>
  </w:num>
  <w:num w:numId="13" w16cid:durableId="140779876">
    <w:abstractNumId w:val="22"/>
  </w:num>
  <w:num w:numId="14" w16cid:durableId="1986153653">
    <w:abstractNumId w:val="32"/>
  </w:num>
  <w:num w:numId="15" w16cid:durableId="1223061862">
    <w:abstractNumId w:val="9"/>
  </w:num>
  <w:num w:numId="16" w16cid:durableId="1569220698">
    <w:abstractNumId w:val="7"/>
  </w:num>
  <w:num w:numId="17" w16cid:durableId="1728646718">
    <w:abstractNumId w:val="17"/>
  </w:num>
  <w:num w:numId="18" w16cid:durableId="359820156">
    <w:abstractNumId w:val="31"/>
  </w:num>
  <w:num w:numId="19" w16cid:durableId="1806897233">
    <w:abstractNumId w:val="26"/>
  </w:num>
  <w:num w:numId="20" w16cid:durableId="1113135642">
    <w:abstractNumId w:val="8"/>
  </w:num>
  <w:num w:numId="21" w16cid:durableId="316342852">
    <w:abstractNumId w:val="27"/>
  </w:num>
  <w:num w:numId="22" w16cid:durableId="1522432305">
    <w:abstractNumId w:val="28"/>
  </w:num>
  <w:num w:numId="23" w16cid:durableId="1312976956">
    <w:abstractNumId w:val="29"/>
  </w:num>
  <w:num w:numId="24" w16cid:durableId="1256750339">
    <w:abstractNumId w:val="34"/>
  </w:num>
  <w:num w:numId="25" w16cid:durableId="1611477015">
    <w:abstractNumId w:val="23"/>
  </w:num>
  <w:num w:numId="26" w16cid:durableId="829368769">
    <w:abstractNumId w:val="14"/>
  </w:num>
  <w:num w:numId="27" w16cid:durableId="1888567996">
    <w:abstractNumId w:val="5"/>
  </w:num>
  <w:num w:numId="28" w16cid:durableId="717516334">
    <w:abstractNumId w:val="24"/>
  </w:num>
  <w:num w:numId="29" w16cid:durableId="278219836">
    <w:abstractNumId w:val="1"/>
  </w:num>
  <w:num w:numId="30" w16cid:durableId="253051898">
    <w:abstractNumId w:val="25"/>
  </w:num>
  <w:num w:numId="31" w16cid:durableId="622922916">
    <w:abstractNumId w:val="30"/>
  </w:num>
  <w:num w:numId="32" w16cid:durableId="404685761">
    <w:abstractNumId w:val="12"/>
  </w:num>
  <w:num w:numId="33" w16cid:durableId="1392269273">
    <w:abstractNumId w:val="18"/>
  </w:num>
  <w:num w:numId="34" w16cid:durableId="2069038263">
    <w:abstractNumId w:val="3"/>
  </w:num>
  <w:num w:numId="35" w16cid:durableId="597982504">
    <w:abstractNumId w:val="36"/>
  </w:num>
  <w:num w:numId="36" w16cid:durableId="812135626">
    <w:abstractNumId w:val="10"/>
  </w:num>
  <w:num w:numId="37" w16cid:durableId="1071149401">
    <w:abstractNumId w:val="11"/>
  </w:num>
  <w:num w:numId="38" w16cid:durableId="1407075711">
    <w:abstractNumId w:val="37"/>
  </w:num>
  <w:num w:numId="39" w16cid:durableId="1937860496">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3CC"/>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C07"/>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4FD9"/>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09A"/>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0B"/>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2C"/>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87"/>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BD6"/>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00"/>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1A1"/>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8CD"/>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273"/>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01"/>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0A"/>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AFD"/>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A70"/>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53"/>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6C"/>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5D0"/>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8B"/>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8E"/>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EEB"/>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403"/>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985"/>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9E1"/>
    <w:rsid w:val="00AA6A58"/>
    <w:rsid w:val="00AA6ABA"/>
    <w:rsid w:val="00AA6B35"/>
    <w:rsid w:val="00AA6B3E"/>
    <w:rsid w:val="00AA6C3D"/>
    <w:rsid w:val="00AA6C50"/>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8D"/>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8D"/>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BBC"/>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D1"/>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C7"/>
    <w:rsid w:val="00D758E8"/>
    <w:rsid w:val="00D759A1"/>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24"/>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97"/>
    <w:rsid w:val="00DE54F8"/>
    <w:rsid w:val="00DE550F"/>
    <w:rsid w:val="00DE5528"/>
    <w:rsid w:val="00DE55B5"/>
    <w:rsid w:val="00DE55C4"/>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ADF"/>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0FEB"/>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6AD"/>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BC80F12-9F7B-480B-BEEC-2B6E4E47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475</Words>
  <Characters>2616</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2023-03-17T22:36:00Z</dcterms:created>
  <dcterms:modified xsi:type="dcterms:W3CDTF">2023-03-17T22:36:00Z</dcterms:modified>
</cp:coreProperties>
</file>