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58EA" w14:textId="4195F5C8" w:rsidR="004E2E8E" w:rsidRPr="004E2E8E" w:rsidRDefault="004E2E8E" w:rsidP="004E2E8E">
      <w:pPr>
        <w:keepNext/>
        <w:framePr w:dropCap="drop" w:lines="3" w:wrap="around" w:vAnchor="text" w:hAnchor="text"/>
        <w:spacing w:after="0" w:line="926" w:lineRule="exact"/>
        <w:textAlignment w:val="baseline"/>
        <w:rPr>
          <w:position w:val="-9"/>
          <w:sz w:val="123"/>
          <w:lang w:val="en-US"/>
        </w:rPr>
      </w:pPr>
      <w:r w:rsidRPr="004E2E8E">
        <w:rPr>
          <w:position w:val="-9"/>
          <w:sz w:val="123"/>
          <w:lang w:val="en-US"/>
        </w:rPr>
        <w:t>E</w:t>
      </w:r>
    </w:p>
    <w:p w14:paraId="6957EA26" w14:textId="66110992" w:rsidR="00C4713E" w:rsidRDefault="004E2E8E" w:rsidP="004E2E8E">
      <w:r>
        <w:rPr>
          <w:lang w:val="en-US"/>
        </w:rPr>
        <w:t xml:space="preserve">n </w:t>
      </w:r>
      <w:r w:rsidRPr="004E2E8E">
        <w:rPr>
          <w:i/>
          <w:iCs/>
          <w:lang w:val="en-US"/>
        </w:rPr>
        <w:t>International Journal of Auditing</w:t>
      </w:r>
      <w:r w:rsidRPr="004E2E8E">
        <w:rPr>
          <w:lang w:val="en-US"/>
        </w:rPr>
        <w:t xml:space="preserve"> Volume27, Issue1</w:t>
      </w:r>
      <w:r>
        <w:rPr>
          <w:lang w:val="en-US"/>
        </w:rPr>
        <w:t xml:space="preserve">, </w:t>
      </w:r>
      <w:r w:rsidRPr="004E2E8E">
        <w:rPr>
          <w:lang w:val="en-US"/>
        </w:rPr>
        <w:t>January 2023</w:t>
      </w:r>
      <w:r>
        <w:rPr>
          <w:lang w:val="en-US"/>
        </w:rPr>
        <w:t xml:space="preserve">, </w:t>
      </w:r>
      <w:r w:rsidRPr="004E2E8E">
        <w:rPr>
          <w:lang w:val="en-US"/>
        </w:rPr>
        <w:t>Pages 45-68</w:t>
      </w:r>
      <w:r>
        <w:rPr>
          <w:lang w:val="en-US"/>
        </w:rPr>
        <w:t>,</w:t>
      </w:r>
      <w:r w:rsidRPr="004E2E8E">
        <w:rPr>
          <w:lang w:val="en-US"/>
        </w:rPr>
        <w:t xml:space="preserve"> </w:t>
      </w:r>
      <w:r>
        <w:rPr>
          <w:lang w:val="en-US"/>
        </w:rPr>
        <w:t xml:space="preserve">aparece el artículo </w:t>
      </w:r>
      <w:hyperlink r:id="rId8" w:history="1">
        <w:r w:rsidRPr="004E2E8E">
          <w:rPr>
            <w:rStyle w:val="Hyperlink"/>
            <w:i/>
            <w:iCs/>
            <w:lang w:val="en-US"/>
          </w:rPr>
          <w:t>Abolition of mandated joint-audit requirements: Impact on audit reporting lag in an emerging capital market</w:t>
        </w:r>
      </w:hyperlink>
      <w:r>
        <w:rPr>
          <w:i/>
          <w:iCs/>
          <w:lang w:val="en-US"/>
        </w:rPr>
        <w:t xml:space="preserve">, </w:t>
      </w:r>
      <w:r>
        <w:rPr>
          <w:lang w:val="en-US"/>
        </w:rPr>
        <w:t xml:space="preserve">escrito por </w:t>
      </w:r>
      <w:r w:rsidRPr="004E2E8E">
        <w:rPr>
          <w:lang w:val="en-US"/>
        </w:rPr>
        <w:t>J.-L. W. Mitchell Van der Zahn</w:t>
      </w:r>
      <w:r>
        <w:rPr>
          <w:lang w:val="en-US"/>
        </w:rPr>
        <w:t>, en cuyo resumen se lee:</w:t>
      </w:r>
      <w:r w:rsidRPr="004E2E8E">
        <w:rPr>
          <w:lang w:val="en-US"/>
        </w:rPr>
        <w:t xml:space="preserve"> “</w:t>
      </w:r>
      <w:r w:rsidRPr="004E2E8E">
        <w:rPr>
          <w:i/>
          <w:iCs/>
          <w:lang w:val="en-US"/>
        </w:rPr>
        <w:t xml:space="preserve">The study aims to examine how changes in the Kuwait audit market following abolition of mandated joint-audit requirements impact audit reporting lag. Analysis tests whether joint-/solo-audit switches (following abolition mandated requirements) affected the level and change in audit reporting lag. The study also tests if the joint-audit pair combination is a decisive factor in determining the (a) level and change in audit reporting lag and (b) audit quality following a switch to a solo-audit. Data is collected from 132 Kuwait-incorporated, nonfinancial firms listed continuously on the Boursa Kuwait from 2015 to 2019 that provides 660 firm-year observations (528 firm-years main empirical tests). Analysis indicates that the following abolition of mandated joint-audit requirements, Kuwait listed firms swiftly switched to solo-audits, generally leading to a significant increase in audit reporting lag. Tests indicate that audit reporting lag was significantly less for joint-audits relative to solo-audits. Additional results show a significant negative association between the quality of joint-audit pair combinations and audit reporting lag. However, there is no significant association between audit reporting lag and the quality of solo-audit type. Test results indicate mixed support for the perception that a joint-audit pair combination significantly influences the level </w:t>
      </w:r>
      <w:r w:rsidRPr="004E2E8E">
        <w:rPr>
          <w:i/>
          <w:iCs/>
          <w:lang w:val="en-US"/>
        </w:rPr>
        <w:t>and change in audit reporting lag following the switch to a specific solo-audit type.</w:t>
      </w:r>
      <w:r w:rsidRPr="004E2E8E">
        <w:rPr>
          <w:lang w:val="en-US"/>
        </w:rPr>
        <w:t>”</w:t>
      </w:r>
      <w:r w:rsidR="00E80056">
        <w:rPr>
          <w:lang w:val="en-US"/>
        </w:rPr>
        <w:t xml:space="preserve"> </w:t>
      </w:r>
      <w:r w:rsidR="00E80056" w:rsidRPr="00E80056">
        <w:t>Con las distintas quiebras de entidades auditadas por las más g</w:t>
      </w:r>
      <w:r w:rsidR="00E80056">
        <w:t xml:space="preserve">randes firmas de auditoría, se han desatado en el Reino Unido y, en menor medida, en Europa, varias propuestas para eliminar su dominio sobre el mercado bursátil, aumentar su independencia y la calidad de sus trabajos. Entre las propuestas que algunos han llevado a la realidad se encuentra de la de las auditorías conjuntas. El artículo dice que Dinamarca abolió esta posibilidad, para luego enfocarse en un suceso similar al que ocurrió en Kuwait. </w:t>
      </w:r>
      <w:r w:rsidR="00910F28">
        <w:t>Curiosamente uno de los asuntos que llaman la atención de los investigadores es la rapidez con la que se difunde la opinión de los auditores, bajo el supuesto de que las más grandes firmas cuentan con competencias y infraestructuras que les permiten ser muy oportunas, al tiempo que otras por más que no lo quieran tienen que retrasarse para no incurrir en errores.</w:t>
      </w:r>
      <w:r w:rsidR="00C4713E">
        <w:t xml:space="preserve"> Otros piensan que los informes muy prontos indican trabajos de aseguramiento de mala calidad, otros que los informes demorados aluden a un gobierno empresarial malo. En todo caso se trata de inferencias basadas en suposiciones. La oportunidad de los informes, a pesar de lo anterior, es sin duda indicador de algo. Debe por tanto ser investigada. La situación es bien curiosa, si se considera que hay dictámenes entregados en el último momento, como la noche anterior de la reunión de la junta directiva o del comité de auditoría, en la cual se considerará la documentación que </w:t>
      </w:r>
      <w:r w:rsidR="00052C13">
        <w:t xml:space="preserve">se </w:t>
      </w:r>
      <w:r w:rsidR="00C4713E">
        <w:t>divulgará entre quienes ejerzan el derecho de inspección.</w:t>
      </w:r>
    </w:p>
    <w:p w14:paraId="7E1568D4" w14:textId="7AA74BC2" w:rsidR="00C4713E" w:rsidRPr="00E80056" w:rsidRDefault="00C4713E" w:rsidP="00C4713E">
      <w:pPr>
        <w:jc w:val="right"/>
      </w:pPr>
      <w:r w:rsidRPr="003C4ED4">
        <w:rPr>
          <w:i/>
          <w:iCs/>
        </w:rPr>
        <w:t>Hernando Bermúdez Gómez</w:t>
      </w:r>
    </w:p>
    <w:sectPr w:rsidR="00C4713E" w:rsidRPr="00E8005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839A" w14:textId="77777777" w:rsidR="00FF4A8F" w:rsidRDefault="00FF4A8F" w:rsidP="00EE7812">
      <w:pPr>
        <w:spacing w:after="0" w:line="240" w:lineRule="auto"/>
      </w:pPr>
      <w:r>
        <w:separator/>
      </w:r>
    </w:p>
  </w:endnote>
  <w:endnote w:type="continuationSeparator" w:id="0">
    <w:p w14:paraId="79618FBD" w14:textId="77777777" w:rsidR="00FF4A8F" w:rsidRDefault="00FF4A8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F6BE" w14:textId="77777777" w:rsidR="00FF4A8F" w:rsidRDefault="00FF4A8F" w:rsidP="00EE7812">
      <w:pPr>
        <w:spacing w:after="0" w:line="240" w:lineRule="auto"/>
      </w:pPr>
      <w:r>
        <w:separator/>
      </w:r>
    </w:p>
  </w:footnote>
  <w:footnote w:type="continuationSeparator" w:id="0">
    <w:p w14:paraId="19B14153" w14:textId="77777777" w:rsidR="00FF4A8F" w:rsidRDefault="00FF4A8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C3885B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907335">
      <w:t>7</w:t>
    </w:r>
    <w:r w:rsidR="001F3493">
      <w:t>4</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54A"/>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5F3"/>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A8F"/>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jau.12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2023-04-02T20:08:00Z</dcterms:created>
  <dcterms:modified xsi:type="dcterms:W3CDTF">2023-04-02T20:08:00Z</dcterms:modified>
</cp:coreProperties>
</file>