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59EA9" w14:textId="0208AD16" w:rsidR="008E7E08" w:rsidRPr="008E7E08" w:rsidRDefault="008E7E08" w:rsidP="008E7E08">
      <w:pPr>
        <w:keepNext/>
        <w:framePr w:dropCap="drop" w:lines="3" w:wrap="around" w:vAnchor="text" w:hAnchor="text"/>
        <w:spacing w:after="0" w:line="926" w:lineRule="exact"/>
        <w:textAlignment w:val="baseline"/>
        <w:rPr>
          <w:position w:val="-8"/>
          <w:sz w:val="123"/>
        </w:rPr>
      </w:pPr>
      <w:r w:rsidRPr="008E7E08">
        <w:rPr>
          <w:position w:val="-8"/>
          <w:sz w:val="123"/>
        </w:rPr>
        <w:t>P</w:t>
      </w:r>
    </w:p>
    <w:p w14:paraId="5EB04ABE" w14:textId="1FBEC378" w:rsidR="00364368" w:rsidRDefault="00B154C8" w:rsidP="009F435D">
      <w:r>
        <w:t>uesto que los contadores son profesionales de las ciencias económicas no pu</w:t>
      </w:r>
      <w:r w:rsidR="008E7E08">
        <w:t>e</w:t>
      </w:r>
      <w:r>
        <w:t>den dejar de estar pendientes de la inflación que se experimenta dentro del país.</w:t>
      </w:r>
      <w:r w:rsidR="008E7E08">
        <w:t xml:space="preserve"> Una cosa es que los recursos no sean objeto de ajustes por inflación y otra que ésta pueda ignorarse. Muchos precios se determinan teniendo en cuenta la inflación, sea de forma obligatoria o voluntaria. También las bases que se utilizan para hacer ciertos cálculos tienen que ajustarse según la inflación. Durante el transcurso de un año los intervinientes en los mercados pueden ser favorecidos o perjudicados por la inflación. Además, ésta puede ser diferente según los recursos, según las zonas geográficas o el tipo de actividades. Según el </w:t>
      </w:r>
      <w:hyperlink r:id="rId8" w:history="1">
        <w:r w:rsidR="008E7E08" w:rsidRPr="008E7E08">
          <w:rPr>
            <w:rStyle w:val="Hipervnculo"/>
          </w:rPr>
          <w:t>DANE</w:t>
        </w:r>
      </w:hyperlink>
      <w:r w:rsidR="008E7E08">
        <w:t xml:space="preserve"> “</w:t>
      </w:r>
      <w:r w:rsidR="008E7E08" w:rsidRPr="008E7E08">
        <w:rPr>
          <w:i/>
        </w:rPr>
        <w:t>En abril de 2023 la variación anual del IPC fue 12,82%, es decir, 3,59 puntos porcentuales mayor que la reportada en el mismo periodo del año anterior, cuando fue de 9,23%.</w:t>
      </w:r>
      <w:r w:rsidR="008E7E08">
        <w:t xml:space="preserve">” Según </w:t>
      </w:r>
      <w:hyperlink r:id="rId9" w:history="1">
        <w:r w:rsidR="008E7E08" w:rsidRPr="00A51C10">
          <w:rPr>
            <w:rStyle w:val="Hipervnculo"/>
          </w:rPr>
          <w:t>el mismo organismo</w:t>
        </w:r>
      </w:hyperlink>
      <w:r w:rsidR="008E7E08">
        <w:t>, la producción nacional disminuyó un 1,34 mientras el índice de precios al productor año corrido aument</w:t>
      </w:r>
      <w:r w:rsidR="00EF14E9">
        <w:t>ó</w:t>
      </w:r>
      <w:r w:rsidR="008E7E08">
        <w:t xml:space="preserve"> un 3, 6</w:t>
      </w:r>
      <w:r w:rsidR="00A51C10">
        <w:t xml:space="preserve">. </w:t>
      </w:r>
      <w:hyperlink r:id="rId10" w:history="1">
        <w:r w:rsidR="00A51C10" w:rsidRPr="00EF14E9">
          <w:rPr>
            <w:rStyle w:val="Hipervnculo"/>
          </w:rPr>
          <w:t>En un año</w:t>
        </w:r>
      </w:hyperlink>
      <w:r w:rsidR="00A51C10">
        <w:t xml:space="preserve"> (17 de mayo) la tasa representativa del mercado aumentó </w:t>
      </w:r>
      <w:r w:rsidR="00A51C10" w:rsidRPr="00A51C10">
        <w:t>11,33</w:t>
      </w:r>
      <w:r w:rsidR="00A51C10">
        <w:t>%.</w:t>
      </w:r>
      <w:r w:rsidR="00C729F7">
        <w:t xml:space="preserve"> Una de las bondades de la contabilidad ha sido su apoyo a la determinación de los precios de los bienes y servicios que produce una entidad. Esto no puede quedarse en simples comparaciones horizontales de año a año, sino que tiene que profundizar en las tendencias y en la</w:t>
      </w:r>
      <w:r w:rsidR="004F2DC4">
        <w:t>s</w:t>
      </w:r>
      <w:r w:rsidR="00C729F7">
        <w:t xml:space="preserve"> fuerzas que están obrando en el mercado.</w:t>
      </w:r>
      <w:r w:rsidR="004F2DC4">
        <w:t xml:space="preserve"> Según el </w:t>
      </w:r>
      <w:hyperlink r:id="rId11" w:history="1">
        <w:r w:rsidR="004F2DC4" w:rsidRPr="004F2DC4">
          <w:rPr>
            <w:rStyle w:val="Hipervnculo"/>
          </w:rPr>
          <w:t>Banco Mundial</w:t>
        </w:r>
      </w:hyperlink>
      <w:r w:rsidR="004F2DC4">
        <w:t xml:space="preserve"> “</w:t>
      </w:r>
      <w:r w:rsidR="004F2DC4" w:rsidRPr="004F2DC4">
        <w:rPr>
          <w:i/>
        </w:rPr>
        <w:t xml:space="preserve">El PIB creció sólidamente a una tasa de 7,5% en 2022, pero la economía se sobrecalentó con la actividad operando por encima de su potencial, una inflación acelerada, y un alto </w:t>
      </w:r>
      <w:r w:rsidR="004F2DC4" w:rsidRPr="004F2DC4">
        <w:rPr>
          <w:i/>
        </w:rPr>
        <w:t>déficit de cuenta corriente. A medida que el rebrote del consumo reprimido durante la pandemia se desvanezca, las políticas monetaria y fiscal sigan en terreno contractivo, y la demanda externa se mantenga débil, se prevé que el PIB solo crecerá 1,1% en 2023 y que la economía se dirigirá a un aterrizaje suave, lo cual es necesario para corregir el surgimiento de desequilibrios internos y externos. Se prevé que el crecimiento se estabilice alrededor de 2,8% en 2024, conforme la demanda externa se reactive, y la inflación y las tasas de interés disminuyan.</w:t>
      </w:r>
      <w:r w:rsidR="004F2DC4">
        <w:t>” Lo más importante que pueden hacer los contables no es el suministro de datos o valores, sino su análisis. Esto es lo que los distingue de los técnicos y los tecnólogos y lo que verdaderamente orienta a los empresarios. Por lo tanto, ellos deben estudiar permanentemente sobre los métodos respectivos. Algunos pierden importancia y otros la ganan.</w:t>
      </w:r>
      <w:r w:rsidR="00D605C0">
        <w:t xml:space="preserve"> Su particularidad es que son capaces de hablar sobre individuos, es decir el ente, y no sobre sectores de la economía. Ayer, en el periódico El Tiempo, destacó el informe de </w:t>
      </w:r>
      <w:hyperlink r:id="rId12" w:history="1">
        <w:r w:rsidR="00D605C0" w:rsidRPr="00D605C0">
          <w:rPr>
            <w:rStyle w:val="Hipervnculo"/>
          </w:rPr>
          <w:t>Confecámaras</w:t>
        </w:r>
      </w:hyperlink>
      <w:r w:rsidR="00D605C0">
        <w:t>, a cuyo tenor “</w:t>
      </w:r>
      <w:r w:rsidR="00D605C0" w:rsidRPr="00694EBD">
        <w:rPr>
          <w:i/>
        </w:rPr>
        <w:t>La tasa de supervivencia de las empresas colombianas a 5 años es del 33.5%, esto quiere decir que, de las 296.896 unidades productivas creadas en 2017, 98.696 siguieron operando en 2022.</w:t>
      </w:r>
      <w:r w:rsidR="00694EBD">
        <w:t>” Afirmación a la que se anotó: “</w:t>
      </w:r>
      <w:r w:rsidR="00694EBD" w:rsidRPr="00694EBD">
        <w:rPr>
          <w:i/>
        </w:rPr>
        <w:t>Al comparar la tasa de supervivencia de las empresas en Colombia con las de otras latitudes se encuentra que esta cifra está por debajo del promedio de los países integrantes de la OCDE</w:t>
      </w:r>
      <w:r w:rsidR="00694EBD" w:rsidRPr="00694EBD">
        <w:t xml:space="preserve"> </w:t>
      </w:r>
      <w:r w:rsidR="00694EBD">
        <w:t>(…)” Por lo tanto hay mucho que pensar al contratar.</w:t>
      </w:r>
    </w:p>
    <w:p w14:paraId="1D764F26" w14:textId="4560703E" w:rsidR="00694EBD" w:rsidRPr="009F435D" w:rsidRDefault="00694EBD" w:rsidP="00694EBD">
      <w:pPr>
        <w:jc w:val="right"/>
      </w:pPr>
      <w:r w:rsidRPr="00844BFA">
        <w:rPr>
          <w:i/>
        </w:rPr>
        <w:t>Hernando Bermúdez Gómez</w:t>
      </w:r>
    </w:p>
    <w:sectPr w:rsidR="00694EBD" w:rsidRPr="009F435D"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E660" w14:textId="77777777" w:rsidR="00646299" w:rsidRDefault="00646299" w:rsidP="00EE7812">
      <w:pPr>
        <w:spacing w:after="0" w:line="240" w:lineRule="auto"/>
      </w:pPr>
      <w:r>
        <w:separator/>
      </w:r>
    </w:p>
  </w:endnote>
  <w:endnote w:type="continuationSeparator" w:id="0">
    <w:p w14:paraId="53FA006D" w14:textId="77777777" w:rsidR="00646299" w:rsidRDefault="006462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BFA3" w14:textId="77777777" w:rsidR="00646299" w:rsidRDefault="00646299" w:rsidP="00EE7812">
      <w:pPr>
        <w:spacing w:after="0" w:line="240" w:lineRule="auto"/>
      </w:pPr>
      <w:r>
        <w:separator/>
      </w:r>
    </w:p>
  </w:footnote>
  <w:footnote w:type="continuationSeparator" w:id="0">
    <w:p w14:paraId="54E0518B" w14:textId="77777777" w:rsidR="00646299" w:rsidRDefault="006462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DD44364"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8A077D">
      <w:t>8</w:t>
    </w:r>
    <w:r w:rsidR="00E77B2F">
      <w:t>3</w:t>
    </w:r>
    <w:r>
      <w:t>,</w:t>
    </w:r>
    <w:r w:rsidR="001E23A5">
      <w:t xml:space="preserve"> </w:t>
    </w:r>
    <w:r w:rsidR="0049605E">
      <w:t>22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363229">
    <w:abstractNumId w:val="0"/>
  </w:num>
  <w:num w:numId="2" w16cid:durableId="818888214">
    <w:abstractNumId w:val="21"/>
  </w:num>
  <w:num w:numId="3" w16cid:durableId="1700818233">
    <w:abstractNumId w:val="15"/>
  </w:num>
  <w:num w:numId="4" w16cid:durableId="1235817892">
    <w:abstractNumId w:val="2"/>
  </w:num>
  <w:num w:numId="5" w16cid:durableId="326398722">
    <w:abstractNumId w:val="20"/>
  </w:num>
  <w:num w:numId="6" w16cid:durableId="2015496680">
    <w:abstractNumId w:val="35"/>
  </w:num>
  <w:num w:numId="7" w16cid:durableId="518129104">
    <w:abstractNumId w:val="13"/>
  </w:num>
  <w:num w:numId="8" w16cid:durableId="1122772235">
    <w:abstractNumId w:val="33"/>
  </w:num>
  <w:num w:numId="9" w16cid:durableId="49379489">
    <w:abstractNumId w:val="38"/>
  </w:num>
  <w:num w:numId="10" w16cid:durableId="1072116061">
    <w:abstractNumId w:val="4"/>
  </w:num>
  <w:num w:numId="11" w16cid:durableId="1302081834">
    <w:abstractNumId w:val="6"/>
  </w:num>
  <w:num w:numId="12" w16cid:durableId="1403604960">
    <w:abstractNumId w:val="19"/>
  </w:num>
  <w:num w:numId="13" w16cid:durableId="204493380">
    <w:abstractNumId w:val="22"/>
  </w:num>
  <w:num w:numId="14" w16cid:durableId="972176655">
    <w:abstractNumId w:val="32"/>
  </w:num>
  <w:num w:numId="15" w16cid:durableId="966549876">
    <w:abstractNumId w:val="9"/>
  </w:num>
  <w:num w:numId="16" w16cid:durableId="33042543">
    <w:abstractNumId w:val="7"/>
  </w:num>
  <w:num w:numId="17" w16cid:durableId="1087533249">
    <w:abstractNumId w:val="17"/>
  </w:num>
  <w:num w:numId="18" w16cid:durableId="51514178">
    <w:abstractNumId w:val="31"/>
  </w:num>
  <w:num w:numId="19" w16cid:durableId="1182622530">
    <w:abstractNumId w:val="26"/>
  </w:num>
  <w:num w:numId="20" w16cid:durableId="716777352">
    <w:abstractNumId w:val="8"/>
  </w:num>
  <w:num w:numId="21" w16cid:durableId="967664764">
    <w:abstractNumId w:val="27"/>
  </w:num>
  <w:num w:numId="22" w16cid:durableId="7103081">
    <w:abstractNumId w:val="28"/>
  </w:num>
  <w:num w:numId="23" w16cid:durableId="1865711063">
    <w:abstractNumId w:val="29"/>
  </w:num>
  <w:num w:numId="24" w16cid:durableId="271474343">
    <w:abstractNumId w:val="34"/>
  </w:num>
  <w:num w:numId="25" w16cid:durableId="958145565">
    <w:abstractNumId w:val="23"/>
  </w:num>
  <w:num w:numId="26" w16cid:durableId="2074692859">
    <w:abstractNumId w:val="14"/>
  </w:num>
  <w:num w:numId="27" w16cid:durableId="144981163">
    <w:abstractNumId w:val="5"/>
  </w:num>
  <w:num w:numId="28" w16cid:durableId="293676034">
    <w:abstractNumId w:val="24"/>
  </w:num>
  <w:num w:numId="29" w16cid:durableId="429199762">
    <w:abstractNumId w:val="1"/>
  </w:num>
  <w:num w:numId="30" w16cid:durableId="975993278">
    <w:abstractNumId w:val="25"/>
  </w:num>
  <w:num w:numId="31" w16cid:durableId="2066491794">
    <w:abstractNumId w:val="30"/>
  </w:num>
  <w:num w:numId="32" w16cid:durableId="553547214">
    <w:abstractNumId w:val="12"/>
  </w:num>
  <w:num w:numId="33" w16cid:durableId="1535726095">
    <w:abstractNumId w:val="18"/>
  </w:num>
  <w:num w:numId="34" w16cid:durableId="936254295">
    <w:abstractNumId w:val="3"/>
  </w:num>
  <w:num w:numId="35" w16cid:durableId="2139378231">
    <w:abstractNumId w:val="36"/>
  </w:num>
  <w:num w:numId="36" w16cid:durableId="1340356024">
    <w:abstractNumId w:val="10"/>
  </w:num>
  <w:num w:numId="37" w16cid:durableId="1035734803">
    <w:abstractNumId w:val="11"/>
  </w:num>
  <w:num w:numId="38" w16cid:durableId="237634597">
    <w:abstractNumId w:val="37"/>
  </w:num>
  <w:num w:numId="39" w16cid:durableId="146237740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A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29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09A"/>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e.gov.co/index.php/estadisticas-por-tema/precios-y-costos/indice-de-precios-al-consumidor-ipc/ipc-informacion-tecni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fecamaras.org.co/noticias/884-segun-estudio-de-confecamaras-el-33-5-de-las-empresas-del-pais-sobreviven-al-termino-de-5-an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comundial.org/es/country/colombia/over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otoro.banrep.gov.co/analytics/saw.dll?Go&amp;Action=prompt&amp;path=%2Fshared%2FSeries%20Estad%C3%ADsticas_T%2F1.%20Tasa%20de%20Cambio%20Peso%20Colombiano%2F1.1%20TRM%20-%20Disponible%20desde%20el%2027%20de%20noviembre%20de%201991%2F1.1.16.TCM_Serie%20historica_ultimos_doce%20meses&amp;Options=rdf&amp;lang=es" TargetMode="External"/><Relationship Id="rId4" Type="http://schemas.openxmlformats.org/officeDocument/2006/relationships/settings" Target="settings.xml"/><Relationship Id="rId9" Type="http://schemas.openxmlformats.org/officeDocument/2006/relationships/hyperlink" Target="https://www.dane.gov.co/files/investigaciones/boletines/ipp/Pre_ipp_abr2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1027409-D876-432C-B2C3-D1764916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614</Words>
  <Characters>3377</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2023-05-20T20:56:00Z</dcterms:created>
  <dcterms:modified xsi:type="dcterms:W3CDTF">2023-05-20T20:56:00Z</dcterms:modified>
</cp:coreProperties>
</file>